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168F9" w14:textId="0F6987E5" w:rsidR="00E77F98" w:rsidRDefault="00E77F98" w:rsidP="00E77F98">
      <w:pPr>
        <w:spacing w:before="40" w:after="40" w:line="360" w:lineRule="auto"/>
        <w:jc w:val="right"/>
        <w:rPr>
          <w:rFonts w:ascii="Times New Roman" w:hAnsi="Times New Roman" w:cs="Times New Roman"/>
          <w:b/>
          <w:bCs/>
          <w:i/>
          <w:iCs/>
          <w:color w:val="222222"/>
          <w:sz w:val="24"/>
          <w:szCs w:val="24"/>
          <w:shd w:val="clear" w:color="auto" w:fill="FFFFFF"/>
        </w:rPr>
      </w:pPr>
      <w:r w:rsidRPr="004923FF">
        <w:rPr>
          <w:rFonts w:ascii="Times New Roman" w:hAnsi="Times New Roman" w:cs="Times New Roman"/>
          <w:b/>
          <w:bCs/>
          <w:i/>
          <w:iCs/>
          <w:color w:val="222222"/>
          <w:sz w:val="24"/>
          <w:szCs w:val="24"/>
          <w:shd w:val="clear" w:color="auto" w:fill="FFFFFF"/>
        </w:rPr>
        <w:t>Artículos científicos</w:t>
      </w:r>
    </w:p>
    <w:p w14:paraId="39AE2270" w14:textId="512498AB" w:rsidR="000B4BCA" w:rsidRDefault="000B4BCA" w:rsidP="00E77F98">
      <w:pPr>
        <w:spacing w:before="40" w:after="40" w:line="360" w:lineRule="auto"/>
        <w:jc w:val="right"/>
        <w:rPr>
          <w:rFonts w:ascii="Times New Roman" w:hAnsi="Times New Roman" w:cs="Times New Roman"/>
          <w:b/>
          <w:bCs/>
          <w:i/>
          <w:iCs/>
          <w:color w:val="222222"/>
          <w:sz w:val="24"/>
          <w:szCs w:val="24"/>
          <w:shd w:val="clear" w:color="auto" w:fill="FFFFFF"/>
        </w:rPr>
      </w:pPr>
      <w:r w:rsidRPr="000B4BCA">
        <w:rPr>
          <w:rFonts w:ascii="Times New Roman" w:hAnsi="Times New Roman" w:cs="Times New Roman"/>
          <w:b/>
          <w:bCs/>
          <w:i/>
          <w:iCs/>
          <w:color w:val="222222"/>
          <w:sz w:val="24"/>
          <w:szCs w:val="24"/>
          <w:shd w:val="clear" w:color="auto" w:fill="FFFFFF"/>
        </w:rPr>
        <w:t>DOI: </w:t>
      </w:r>
      <w:hyperlink r:id="rId7" w:history="1">
        <w:r w:rsidRPr="000B4BCA">
          <w:rPr>
            <w:rFonts w:ascii="Times New Roman" w:hAnsi="Times New Roman" w:cs="Times New Roman"/>
            <w:b/>
            <w:bCs/>
            <w:i/>
            <w:iCs/>
            <w:color w:val="222222"/>
            <w:sz w:val="24"/>
            <w:szCs w:val="24"/>
            <w:shd w:val="clear" w:color="auto" w:fill="FFFFFF"/>
          </w:rPr>
          <w:t>https://doi.org/10.23913/pag.v11i22.930</w:t>
        </w:r>
      </w:hyperlink>
    </w:p>
    <w:p w14:paraId="1267D643" w14:textId="77777777" w:rsidR="000B4BCA" w:rsidRPr="000B4BCA" w:rsidRDefault="000B4BCA" w:rsidP="00E77F98">
      <w:pPr>
        <w:spacing w:before="40" w:after="40" w:line="360" w:lineRule="auto"/>
        <w:jc w:val="right"/>
        <w:rPr>
          <w:rFonts w:ascii="Times New Roman" w:hAnsi="Times New Roman" w:cs="Times New Roman"/>
          <w:b/>
          <w:bCs/>
          <w:i/>
          <w:iCs/>
          <w:color w:val="222222"/>
          <w:sz w:val="24"/>
          <w:szCs w:val="24"/>
          <w:shd w:val="clear" w:color="auto" w:fill="FFFFFF"/>
        </w:rPr>
      </w:pPr>
    </w:p>
    <w:p w14:paraId="6C994B25" w14:textId="1B69662C" w:rsidR="00021371" w:rsidRPr="00E77F98" w:rsidRDefault="00021371" w:rsidP="0028689B">
      <w:pPr>
        <w:spacing w:after="0" w:line="276" w:lineRule="auto"/>
        <w:jc w:val="right"/>
        <w:rPr>
          <w:rFonts w:ascii="Calibri" w:eastAsia="Calibri" w:hAnsi="Calibri" w:cs="Calibri"/>
          <w:b/>
          <w:color w:val="000000"/>
          <w:sz w:val="32"/>
          <w:szCs w:val="32"/>
          <w:lang w:val="es-ES" w:eastAsia="es-MX"/>
        </w:rPr>
      </w:pPr>
      <w:r w:rsidRPr="00E77F98">
        <w:rPr>
          <w:rFonts w:ascii="Calibri" w:eastAsia="Calibri" w:hAnsi="Calibri" w:cs="Calibri"/>
          <w:b/>
          <w:color w:val="000000"/>
          <w:sz w:val="32"/>
          <w:szCs w:val="32"/>
          <w:lang w:val="es-ES" w:eastAsia="es-MX"/>
        </w:rPr>
        <w:t xml:space="preserve">Reorientación de las instituciones de educación superior </w:t>
      </w:r>
      <w:r w:rsidR="002A4D5F" w:rsidRPr="00E77F98">
        <w:rPr>
          <w:rFonts w:ascii="Calibri" w:eastAsia="Calibri" w:hAnsi="Calibri" w:cs="Calibri"/>
          <w:b/>
          <w:color w:val="000000"/>
          <w:sz w:val="32"/>
          <w:szCs w:val="32"/>
          <w:lang w:val="es-ES" w:eastAsia="es-MX"/>
        </w:rPr>
        <w:t xml:space="preserve">conforme </w:t>
      </w:r>
      <w:r w:rsidR="00A31441" w:rsidRPr="00E77F98">
        <w:rPr>
          <w:rFonts w:ascii="Calibri" w:eastAsia="Calibri" w:hAnsi="Calibri" w:cs="Calibri"/>
          <w:b/>
          <w:color w:val="000000"/>
          <w:sz w:val="32"/>
          <w:szCs w:val="32"/>
          <w:lang w:val="es-ES" w:eastAsia="es-MX"/>
        </w:rPr>
        <w:t>a un</w:t>
      </w:r>
      <w:r w:rsidRPr="00E77F98">
        <w:rPr>
          <w:rFonts w:ascii="Calibri" w:eastAsia="Calibri" w:hAnsi="Calibri" w:cs="Calibri"/>
          <w:b/>
          <w:color w:val="000000"/>
          <w:sz w:val="32"/>
          <w:szCs w:val="32"/>
          <w:lang w:val="es-ES" w:eastAsia="es-MX"/>
        </w:rPr>
        <w:t xml:space="preserve"> compromiso social</w:t>
      </w:r>
    </w:p>
    <w:p w14:paraId="37F87CA8" w14:textId="1FAADF55" w:rsidR="00E77F98" w:rsidRPr="00CE0131" w:rsidRDefault="00E77F98" w:rsidP="0028689B">
      <w:pPr>
        <w:spacing w:after="0" w:line="276" w:lineRule="auto"/>
        <w:jc w:val="right"/>
        <w:rPr>
          <w:rFonts w:ascii="Calibri" w:eastAsia="Calibri" w:hAnsi="Calibri" w:cs="Calibri"/>
          <w:b/>
          <w:i/>
          <w:iCs/>
          <w:color w:val="000000"/>
          <w:sz w:val="28"/>
          <w:szCs w:val="28"/>
          <w:lang w:val="en-GB" w:eastAsia="es-MX"/>
        </w:rPr>
      </w:pPr>
      <w:r w:rsidRPr="006263AE">
        <w:rPr>
          <w:rFonts w:ascii="Calibri" w:eastAsia="Calibri" w:hAnsi="Calibri" w:cs="Calibri"/>
          <w:b/>
          <w:i/>
          <w:iCs/>
          <w:color w:val="000000"/>
          <w:sz w:val="28"/>
          <w:szCs w:val="28"/>
          <w:lang w:val="en-GB" w:eastAsia="es-MX"/>
        </w:rPr>
        <w:br/>
      </w:r>
      <w:r w:rsidRPr="00CE0131">
        <w:rPr>
          <w:rFonts w:ascii="Calibri" w:eastAsia="Calibri" w:hAnsi="Calibri" w:cs="Calibri"/>
          <w:b/>
          <w:i/>
          <w:iCs/>
          <w:color w:val="000000"/>
          <w:sz w:val="28"/>
          <w:szCs w:val="28"/>
          <w:lang w:val="en-GB" w:eastAsia="es-MX"/>
        </w:rPr>
        <w:t>Reorienting higher education institutions in line with a social commitment</w:t>
      </w:r>
    </w:p>
    <w:p w14:paraId="29A9AFDC" w14:textId="794678AC" w:rsidR="00E77F98" w:rsidRPr="00E77F98" w:rsidRDefault="00E77F98" w:rsidP="0028689B">
      <w:pPr>
        <w:spacing w:after="0" w:line="276" w:lineRule="auto"/>
        <w:jc w:val="right"/>
        <w:rPr>
          <w:rFonts w:ascii="Calibri" w:eastAsia="Calibri" w:hAnsi="Calibri" w:cs="Calibri"/>
          <w:b/>
          <w:i/>
          <w:iCs/>
          <w:color w:val="000000"/>
          <w:sz w:val="28"/>
          <w:szCs w:val="28"/>
          <w:lang w:val="es-ES" w:eastAsia="es-MX"/>
        </w:rPr>
      </w:pPr>
      <w:r w:rsidRPr="006263AE">
        <w:rPr>
          <w:rFonts w:ascii="Calibri" w:eastAsia="Calibri" w:hAnsi="Calibri" w:cs="Calibri"/>
          <w:b/>
          <w:i/>
          <w:iCs/>
          <w:color w:val="000000"/>
          <w:sz w:val="28"/>
          <w:szCs w:val="28"/>
          <w:lang w:eastAsia="es-MX"/>
        </w:rPr>
        <w:br/>
      </w:r>
      <w:proofErr w:type="spellStart"/>
      <w:r w:rsidRPr="00E77F98">
        <w:rPr>
          <w:rFonts w:ascii="Calibri" w:eastAsia="Calibri" w:hAnsi="Calibri" w:cs="Calibri"/>
          <w:b/>
          <w:i/>
          <w:iCs/>
          <w:color w:val="000000"/>
          <w:sz w:val="28"/>
          <w:szCs w:val="28"/>
          <w:lang w:val="es-ES" w:eastAsia="es-MX"/>
        </w:rPr>
        <w:t>Reorientação</w:t>
      </w:r>
      <w:proofErr w:type="spellEnd"/>
      <w:r w:rsidRPr="00E77F98">
        <w:rPr>
          <w:rFonts w:ascii="Calibri" w:eastAsia="Calibri" w:hAnsi="Calibri" w:cs="Calibri"/>
          <w:b/>
          <w:i/>
          <w:iCs/>
          <w:color w:val="000000"/>
          <w:sz w:val="28"/>
          <w:szCs w:val="28"/>
          <w:lang w:val="es-ES" w:eastAsia="es-MX"/>
        </w:rPr>
        <w:t xml:space="preserve"> das </w:t>
      </w:r>
      <w:proofErr w:type="spellStart"/>
      <w:r w:rsidRPr="00E77F98">
        <w:rPr>
          <w:rFonts w:ascii="Calibri" w:eastAsia="Calibri" w:hAnsi="Calibri" w:cs="Calibri"/>
          <w:b/>
          <w:i/>
          <w:iCs/>
          <w:color w:val="000000"/>
          <w:sz w:val="28"/>
          <w:szCs w:val="28"/>
          <w:lang w:val="es-ES" w:eastAsia="es-MX"/>
        </w:rPr>
        <w:t>instituições</w:t>
      </w:r>
      <w:proofErr w:type="spellEnd"/>
      <w:r w:rsidRPr="00E77F98">
        <w:rPr>
          <w:rFonts w:ascii="Calibri" w:eastAsia="Calibri" w:hAnsi="Calibri" w:cs="Calibri"/>
          <w:b/>
          <w:i/>
          <w:iCs/>
          <w:color w:val="000000"/>
          <w:sz w:val="28"/>
          <w:szCs w:val="28"/>
          <w:lang w:val="es-ES" w:eastAsia="es-MX"/>
        </w:rPr>
        <w:t xml:space="preserve"> de </w:t>
      </w:r>
      <w:proofErr w:type="spellStart"/>
      <w:r w:rsidRPr="00E77F98">
        <w:rPr>
          <w:rFonts w:ascii="Calibri" w:eastAsia="Calibri" w:hAnsi="Calibri" w:cs="Calibri"/>
          <w:b/>
          <w:i/>
          <w:iCs/>
          <w:color w:val="000000"/>
          <w:sz w:val="28"/>
          <w:szCs w:val="28"/>
          <w:lang w:val="es-ES" w:eastAsia="es-MX"/>
        </w:rPr>
        <w:t>ensino</w:t>
      </w:r>
      <w:proofErr w:type="spellEnd"/>
      <w:r w:rsidRPr="00E77F98">
        <w:rPr>
          <w:rFonts w:ascii="Calibri" w:eastAsia="Calibri" w:hAnsi="Calibri" w:cs="Calibri"/>
          <w:b/>
          <w:i/>
          <w:iCs/>
          <w:color w:val="000000"/>
          <w:sz w:val="28"/>
          <w:szCs w:val="28"/>
          <w:lang w:val="es-ES" w:eastAsia="es-MX"/>
        </w:rPr>
        <w:t xml:space="preserve"> superior de </w:t>
      </w:r>
      <w:proofErr w:type="spellStart"/>
      <w:r w:rsidRPr="00E77F98">
        <w:rPr>
          <w:rFonts w:ascii="Calibri" w:eastAsia="Calibri" w:hAnsi="Calibri" w:cs="Calibri"/>
          <w:b/>
          <w:i/>
          <w:iCs/>
          <w:color w:val="000000"/>
          <w:sz w:val="28"/>
          <w:szCs w:val="28"/>
          <w:lang w:val="es-ES" w:eastAsia="es-MX"/>
        </w:rPr>
        <w:t>acordo</w:t>
      </w:r>
      <w:proofErr w:type="spellEnd"/>
      <w:r w:rsidRPr="00E77F98">
        <w:rPr>
          <w:rFonts w:ascii="Calibri" w:eastAsia="Calibri" w:hAnsi="Calibri" w:cs="Calibri"/>
          <w:b/>
          <w:i/>
          <w:iCs/>
          <w:color w:val="000000"/>
          <w:sz w:val="28"/>
          <w:szCs w:val="28"/>
          <w:lang w:val="es-ES" w:eastAsia="es-MX"/>
        </w:rPr>
        <w:t xml:space="preserve"> </w:t>
      </w:r>
      <w:proofErr w:type="spellStart"/>
      <w:r w:rsidRPr="00E77F98">
        <w:rPr>
          <w:rFonts w:ascii="Calibri" w:eastAsia="Calibri" w:hAnsi="Calibri" w:cs="Calibri"/>
          <w:b/>
          <w:i/>
          <w:iCs/>
          <w:color w:val="000000"/>
          <w:sz w:val="28"/>
          <w:szCs w:val="28"/>
          <w:lang w:val="es-ES" w:eastAsia="es-MX"/>
        </w:rPr>
        <w:t>com</w:t>
      </w:r>
      <w:proofErr w:type="spellEnd"/>
      <w:r w:rsidRPr="00E77F98">
        <w:rPr>
          <w:rFonts w:ascii="Calibri" w:eastAsia="Calibri" w:hAnsi="Calibri" w:cs="Calibri"/>
          <w:b/>
          <w:i/>
          <w:iCs/>
          <w:color w:val="000000"/>
          <w:sz w:val="28"/>
          <w:szCs w:val="28"/>
          <w:lang w:val="es-ES" w:eastAsia="es-MX"/>
        </w:rPr>
        <w:t xml:space="preserve"> </w:t>
      </w:r>
      <w:proofErr w:type="spellStart"/>
      <w:r w:rsidRPr="00E77F98">
        <w:rPr>
          <w:rFonts w:ascii="Calibri" w:eastAsia="Calibri" w:hAnsi="Calibri" w:cs="Calibri"/>
          <w:b/>
          <w:i/>
          <w:iCs/>
          <w:color w:val="000000"/>
          <w:sz w:val="28"/>
          <w:szCs w:val="28"/>
          <w:lang w:val="es-ES" w:eastAsia="es-MX"/>
        </w:rPr>
        <w:t>um</w:t>
      </w:r>
      <w:proofErr w:type="spellEnd"/>
      <w:r w:rsidRPr="00E77F98">
        <w:rPr>
          <w:rFonts w:ascii="Calibri" w:eastAsia="Calibri" w:hAnsi="Calibri" w:cs="Calibri"/>
          <w:b/>
          <w:i/>
          <w:iCs/>
          <w:color w:val="000000"/>
          <w:sz w:val="28"/>
          <w:szCs w:val="28"/>
          <w:lang w:val="es-ES" w:eastAsia="es-MX"/>
        </w:rPr>
        <w:t xml:space="preserve"> </w:t>
      </w:r>
      <w:proofErr w:type="spellStart"/>
      <w:r w:rsidRPr="00E77F98">
        <w:rPr>
          <w:rFonts w:ascii="Calibri" w:eastAsia="Calibri" w:hAnsi="Calibri" w:cs="Calibri"/>
          <w:b/>
          <w:i/>
          <w:iCs/>
          <w:color w:val="000000"/>
          <w:sz w:val="28"/>
          <w:szCs w:val="28"/>
          <w:lang w:val="es-ES" w:eastAsia="es-MX"/>
        </w:rPr>
        <w:t>compromisso</w:t>
      </w:r>
      <w:proofErr w:type="spellEnd"/>
      <w:r w:rsidRPr="00E77F98">
        <w:rPr>
          <w:rFonts w:ascii="Calibri" w:eastAsia="Calibri" w:hAnsi="Calibri" w:cs="Calibri"/>
          <w:b/>
          <w:i/>
          <w:iCs/>
          <w:color w:val="000000"/>
          <w:sz w:val="28"/>
          <w:szCs w:val="28"/>
          <w:lang w:val="es-ES" w:eastAsia="es-MX"/>
        </w:rPr>
        <w:t xml:space="preserve"> social</w:t>
      </w:r>
    </w:p>
    <w:p w14:paraId="7EBBACA2" w14:textId="77777777" w:rsidR="00E77F98" w:rsidRDefault="00E77F98" w:rsidP="00E77F98">
      <w:pPr>
        <w:spacing w:before="40" w:after="40" w:line="276" w:lineRule="auto"/>
        <w:jc w:val="both"/>
        <w:rPr>
          <w:rFonts w:ascii="Times New Roman" w:hAnsi="Times New Roman" w:cs="Times New Roman"/>
          <w:sz w:val="24"/>
          <w:szCs w:val="24"/>
        </w:rPr>
      </w:pPr>
    </w:p>
    <w:p w14:paraId="1710EFC3" w14:textId="1F90528D" w:rsidR="00021371" w:rsidRPr="00E77F98" w:rsidRDefault="00021371" w:rsidP="00E77F98">
      <w:pPr>
        <w:spacing w:after="0" w:line="276" w:lineRule="auto"/>
        <w:jc w:val="right"/>
        <w:rPr>
          <w:rFonts w:cstheme="minorHAnsi"/>
          <w:b/>
          <w:bCs/>
          <w:sz w:val="24"/>
          <w:szCs w:val="24"/>
        </w:rPr>
      </w:pPr>
      <w:r w:rsidRPr="00E77F98">
        <w:rPr>
          <w:rFonts w:cstheme="minorHAnsi"/>
          <w:b/>
          <w:bCs/>
          <w:sz w:val="24"/>
          <w:szCs w:val="24"/>
        </w:rPr>
        <w:t>Alfredo Hernández Prado</w:t>
      </w:r>
    </w:p>
    <w:p w14:paraId="74749850" w14:textId="79712AA5" w:rsidR="00727DA2" w:rsidRPr="003E7A82" w:rsidRDefault="00727DA2" w:rsidP="00E77F98">
      <w:pPr>
        <w:spacing w:after="0" w:line="276" w:lineRule="auto"/>
        <w:jc w:val="right"/>
        <w:rPr>
          <w:rFonts w:ascii="Times New Roman" w:hAnsi="Times New Roman" w:cs="Times New Roman"/>
          <w:sz w:val="24"/>
          <w:szCs w:val="24"/>
        </w:rPr>
      </w:pPr>
      <w:r w:rsidRPr="003E7A82">
        <w:rPr>
          <w:rFonts w:ascii="Times New Roman" w:hAnsi="Times New Roman" w:cs="Times New Roman"/>
          <w:sz w:val="24"/>
          <w:szCs w:val="24"/>
        </w:rPr>
        <w:t>Instituto Tecnológico Autónomo de México</w:t>
      </w:r>
      <w:r w:rsidR="00E77F98">
        <w:rPr>
          <w:rFonts w:ascii="Times New Roman" w:hAnsi="Times New Roman" w:cs="Times New Roman"/>
          <w:sz w:val="24"/>
          <w:szCs w:val="24"/>
        </w:rPr>
        <w:t>, México</w:t>
      </w:r>
    </w:p>
    <w:p w14:paraId="6ED6ACE0" w14:textId="433A817C" w:rsidR="00727DA2" w:rsidRPr="0028689B" w:rsidRDefault="00727DA2" w:rsidP="00E77F98">
      <w:pPr>
        <w:spacing w:after="0" w:line="276" w:lineRule="auto"/>
        <w:jc w:val="right"/>
        <w:rPr>
          <w:rFonts w:cstheme="minorHAnsi"/>
          <w:color w:val="FF0000"/>
          <w:sz w:val="24"/>
          <w:szCs w:val="24"/>
        </w:rPr>
      </w:pPr>
      <w:r w:rsidRPr="0028689B">
        <w:rPr>
          <w:rFonts w:cstheme="minorHAnsi"/>
          <w:color w:val="FF0000"/>
          <w:sz w:val="24"/>
          <w:szCs w:val="24"/>
        </w:rPr>
        <w:t>alfredo.hernandez@itam.mx</w:t>
      </w:r>
    </w:p>
    <w:p w14:paraId="507E48F0" w14:textId="641213EF" w:rsidR="006818B3" w:rsidRPr="003E7A82" w:rsidRDefault="006818B3" w:rsidP="00E77F98">
      <w:pPr>
        <w:spacing w:after="0" w:line="276" w:lineRule="auto"/>
        <w:jc w:val="right"/>
        <w:rPr>
          <w:rFonts w:ascii="Times New Roman" w:hAnsi="Times New Roman" w:cs="Times New Roman"/>
          <w:sz w:val="24"/>
          <w:szCs w:val="24"/>
        </w:rPr>
      </w:pPr>
      <w:r w:rsidRPr="00E77F98">
        <w:rPr>
          <w:rFonts w:ascii="Times New Roman" w:hAnsi="Times New Roman" w:cs="Times New Roman"/>
          <w:sz w:val="24"/>
          <w:szCs w:val="24"/>
        </w:rPr>
        <w:t>https://orcid.org/0000-0003-0554-4085</w:t>
      </w:r>
    </w:p>
    <w:p w14:paraId="30DDAFD3" w14:textId="77777777" w:rsidR="00E77F98" w:rsidRDefault="00E77F98" w:rsidP="00E77F98">
      <w:pPr>
        <w:spacing w:after="0" w:line="276" w:lineRule="auto"/>
        <w:jc w:val="right"/>
        <w:rPr>
          <w:rFonts w:ascii="Times New Roman" w:hAnsi="Times New Roman" w:cs="Times New Roman"/>
          <w:sz w:val="24"/>
          <w:szCs w:val="24"/>
        </w:rPr>
      </w:pPr>
    </w:p>
    <w:p w14:paraId="17C0F941" w14:textId="35B5BD54" w:rsidR="006818B3" w:rsidRPr="00E77F98" w:rsidRDefault="006818B3" w:rsidP="00E77F98">
      <w:pPr>
        <w:spacing w:after="0" w:line="276" w:lineRule="auto"/>
        <w:jc w:val="right"/>
        <w:rPr>
          <w:rFonts w:cstheme="minorHAnsi"/>
          <w:b/>
          <w:bCs/>
          <w:sz w:val="24"/>
          <w:szCs w:val="24"/>
        </w:rPr>
      </w:pPr>
      <w:r w:rsidRPr="00E77F98">
        <w:rPr>
          <w:rFonts w:cstheme="minorHAnsi"/>
          <w:b/>
          <w:bCs/>
          <w:sz w:val="24"/>
          <w:szCs w:val="24"/>
        </w:rPr>
        <w:t>Jorge Eduardo Zarur Cortés</w:t>
      </w:r>
    </w:p>
    <w:p w14:paraId="6126F2D3" w14:textId="4BC1F01C" w:rsidR="006818B3" w:rsidRPr="003E7A82" w:rsidRDefault="006818B3" w:rsidP="00E77F98">
      <w:pPr>
        <w:spacing w:after="0" w:line="276" w:lineRule="auto"/>
        <w:jc w:val="right"/>
        <w:rPr>
          <w:rFonts w:ascii="Times New Roman" w:hAnsi="Times New Roman" w:cs="Times New Roman"/>
          <w:sz w:val="24"/>
          <w:szCs w:val="24"/>
        </w:rPr>
      </w:pPr>
      <w:r w:rsidRPr="003E7A82">
        <w:rPr>
          <w:rFonts w:ascii="Times New Roman" w:hAnsi="Times New Roman" w:cs="Times New Roman"/>
          <w:sz w:val="24"/>
          <w:szCs w:val="24"/>
        </w:rPr>
        <w:t>Universidad Autónoma del Estado de México</w:t>
      </w:r>
      <w:r w:rsidR="00E77F98">
        <w:rPr>
          <w:rFonts w:ascii="Times New Roman" w:hAnsi="Times New Roman" w:cs="Times New Roman"/>
          <w:sz w:val="24"/>
          <w:szCs w:val="24"/>
        </w:rPr>
        <w:t>, México</w:t>
      </w:r>
    </w:p>
    <w:p w14:paraId="2E3E7C0B" w14:textId="4EE2DA6D" w:rsidR="006818B3" w:rsidRPr="0028689B" w:rsidRDefault="006818B3" w:rsidP="00E77F98">
      <w:pPr>
        <w:spacing w:after="0" w:line="276" w:lineRule="auto"/>
        <w:jc w:val="right"/>
        <w:rPr>
          <w:rFonts w:cstheme="minorHAnsi"/>
          <w:color w:val="FF0000"/>
          <w:sz w:val="24"/>
          <w:szCs w:val="24"/>
        </w:rPr>
      </w:pPr>
      <w:r w:rsidRPr="0028689B">
        <w:rPr>
          <w:rFonts w:cstheme="minorHAnsi"/>
          <w:color w:val="FF0000"/>
          <w:sz w:val="24"/>
          <w:szCs w:val="24"/>
        </w:rPr>
        <w:t>jezarurc@uaemex.mx</w:t>
      </w:r>
    </w:p>
    <w:p w14:paraId="2E298159" w14:textId="5B2292F6" w:rsidR="006818B3" w:rsidRPr="003E7A82" w:rsidRDefault="006818B3" w:rsidP="00E77F98">
      <w:pPr>
        <w:spacing w:after="0" w:line="276" w:lineRule="auto"/>
        <w:jc w:val="right"/>
        <w:rPr>
          <w:rStyle w:val="Hipervnculo"/>
        </w:rPr>
      </w:pPr>
      <w:r w:rsidRPr="00E77F98">
        <w:rPr>
          <w:rFonts w:ascii="Times New Roman" w:hAnsi="Times New Roman" w:cs="Times New Roman"/>
          <w:sz w:val="24"/>
          <w:szCs w:val="24"/>
        </w:rPr>
        <w:t>https://orcid.org/0000-0001-8349-6993R</w:t>
      </w:r>
    </w:p>
    <w:p w14:paraId="4DEBF7CC" w14:textId="77777777" w:rsidR="00E77F98" w:rsidRPr="006020CA" w:rsidRDefault="00E77F98" w:rsidP="006020CA">
      <w:pPr>
        <w:pStyle w:val="Textoindependiente"/>
        <w:ind w:left="0"/>
        <w:jc w:val="left"/>
        <w:rPr>
          <w:b/>
          <w:color w:val="000000" w:themeColor="text1"/>
          <w:szCs w:val="32"/>
          <w:highlight w:val="green"/>
          <w:lang w:val="es-MX"/>
        </w:rPr>
      </w:pPr>
      <w:bookmarkStart w:id="0" w:name="_Hlk177648670"/>
    </w:p>
    <w:p w14:paraId="3357CFCF" w14:textId="1D4A5060" w:rsidR="00DB3579" w:rsidRPr="003E7A82" w:rsidRDefault="00DB3579" w:rsidP="00103BF2">
      <w:pPr>
        <w:pStyle w:val="Textoindependiente"/>
        <w:spacing w:before="1"/>
        <w:ind w:left="0"/>
        <w:jc w:val="left"/>
        <w:rPr>
          <w:b/>
          <w:color w:val="000000" w:themeColor="text1"/>
          <w:sz w:val="21"/>
          <w:highlight w:val="green"/>
          <w:lang w:val="es-MX"/>
        </w:rPr>
      </w:pPr>
    </w:p>
    <w:bookmarkEnd w:id="0"/>
    <w:p w14:paraId="71C98783" w14:textId="257CCD8D" w:rsidR="0006090D" w:rsidRPr="00E77F98" w:rsidRDefault="0006090D" w:rsidP="006020CA">
      <w:pPr>
        <w:spacing w:after="0" w:line="360" w:lineRule="auto"/>
        <w:rPr>
          <w:rFonts w:cstheme="minorHAnsi"/>
          <w:b/>
          <w:bCs/>
          <w:iCs/>
          <w:sz w:val="28"/>
          <w:szCs w:val="28"/>
        </w:rPr>
      </w:pPr>
      <w:r w:rsidRPr="00E77F98">
        <w:rPr>
          <w:rFonts w:cstheme="minorHAnsi"/>
          <w:b/>
          <w:bCs/>
          <w:iCs/>
          <w:sz w:val="28"/>
          <w:szCs w:val="28"/>
        </w:rPr>
        <w:t>Resumen</w:t>
      </w:r>
    </w:p>
    <w:p w14:paraId="7FFEA378" w14:textId="4EF056F7" w:rsidR="008770FE" w:rsidRPr="003E7A82" w:rsidRDefault="008770FE"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Un modelo de educación superior puede estar formalmente definido o puede ser simplemente el resultado de lo que está siendo aplicado en </w:t>
      </w:r>
      <w:r w:rsidR="003433E2" w:rsidRPr="003E7A82">
        <w:rPr>
          <w:rFonts w:ascii="Times New Roman" w:hAnsi="Times New Roman" w:cs="Times New Roman"/>
          <w:iCs/>
          <w:sz w:val="24"/>
          <w:szCs w:val="24"/>
        </w:rPr>
        <w:t>e</w:t>
      </w:r>
      <w:r w:rsidRPr="003E7A82">
        <w:rPr>
          <w:rFonts w:ascii="Times New Roman" w:hAnsi="Times New Roman" w:cs="Times New Roman"/>
          <w:iCs/>
          <w:sz w:val="24"/>
          <w:szCs w:val="24"/>
        </w:rPr>
        <w:t xml:space="preserve">l ámbito educativo de un país. En cualquiera de las dos circunstancias es importante resolver si este atiende el compromiso social </w:t>
      </w:r>
      <w:r w:rsidR="006C0F6B" w:rsidRPr="003E7A82">
        <w:rPr>
          <w:rFonts w:ascii="Times New Roman" w:hAnsi="Times New Roman" w:cs="Times New Roman"/>
          <w:iCs/>
          <w:sz w:val="24"/>
          <w:szCs w:val="24"/>
        </w:rPr>
        <w:t xml:space="preserve">al </w:t>
      </w:r>
      <w:r w:rsidRPr="003E7A82">
        <w:rPr>
          <w:rFonts w:ascii="Times New Roman" w:hAnsi="Times New Roman" w:cs="Times New Roman"/>
          <w:iCs/>
          <w:sz w:val="24"/>
          <w:szCs w:val="24"/>
        </w:rPr>
        <w:t xml:space="preserve">que debe </w:t>
      </w:r>
      <w:r w:rsidR="006C0F6B" w:rsidRPr="003E7A82">
        <w:rPr>
          <w:rFonts w:ascii="Times New Roman" w:hAnsi="Times New Roman" w:cs="Times New Roman"/>
          <w:iCs/>
          <w:sz w:val="24"/>
          <w:szCs w:val="24"/>
        </w:rPr>
        <w:t>respond</w:t>
      </w:r>
      <w:r w:rsidRPr="003E7A82">
        <w:rPr>
          <w:rFonts w:ascii="Times New Roman" w:hAnsi="Times New Roman" w:cs="Times New Roman"/>
          <w:iCs/>
          <w:sz w:val="24"/>
          <w:szCs w:val="24"/>
        </w:rPr>
        <w:t xml:space="preserve">er. Este </w:t>
      </w:r>
      <w:r w:rsidR="00B21E1F" w:rsidRPr="003E7A82">
        <w:rPr>
          <w:rFonts w:ascii="Times New Roman" w:hAnsi="Times New Roman" w:cs="Times New Roman"/>
          <w:iCs/>
          <w:sz w:val="24"/>
          <w:szCs w:val="24"/>
        </w:rPr>
        <w:t>trabajo</w:t>
      </w:r>
      <w:r w:rsidRPr="003E7A82">
        <w:rPr>
          <w:rFonts w:ascii="Times New Roman" w:hAnsi="Times New Roman" w:cs="Times New Roman"/>
          <w:iCs/>
          <w:sz w:val="24"/>
          <w:szCs w:val="24"/>
        </w:rPr>
        <w:t xml:space="preserve"> tiene por objeto </w:t>
      </w:r>
      <w:r w:rsidR="00856A21" w:rsidRPr="003E7A82">
        <w:rPr>
          <w:rFonts w:ascii="Times New Roman" w:hAnsi="Times New Roman" w:cs="Times New Roman"/>
          <w:iCs/>
          <w:sz w:val="24"/>
          <w:szCs w:val="24"/>
        </w:rPr>
        <w:t xml:space="preserve">identificar la situación actual de la educación superior en México y el dilema que representa la internacionalización de </w:t>
      </w:r>
      <w:r w:rsidR="006C0F6B" w:rsidRPr="003E7A82">
        <w:rPr>
          <w:rFonts w:ascii="Times New Roman" w:hAnsi="Times New Roman" w:cs="Times New Roman"/>
          <w:iCs/>
          <w:sz w:val="24"/>
          <w:szCs w:val="24"/>
        </w:rPr>
        <w:t>esta</w:t>
      </w:r>
      <w:r w:rsidR="00856A21" w:rsidRPr="003E7A82">
        <w:rPr>
          <w:rFonts w:ascii="Times New Roman" w:hAnsi="Times New Roman" w:cs="Times New Roman"/>
          <w:iCs/>
          <w:sz w:val="24"/>
          <w:szCs w:val="24"/>
        </w:rPr>
        <w:t xml:space="preserve"> para </w:t>
      </w:r>
      <w:r w:rsidR="006C0F6B" w:rsidRPr="003E7A82">
        <w:rPr>
          <w:rFonts w:ascii="Times New Roman" w:hAnsi="Times New Roman" w:cs="Times New Roman"/>
          <w:iCs/>
          <w:sz w:val="24"/>
          <w:szCs w:val="24"/>
        </w:rPr>
        <w:t>tal propósito</w:t>
      </w:r>
      <w:r w:rsidR="00856A21" w:rsidRPr="003E7A82">
        <w:rPr>
          <w:rFonts w:ascii="Times New Roman" w:hAnsi="Times New Roman" w:cs="Times New Roman"/>
          <w:iCs/>
          <w:sz w:val="24"/>
          <w:szCs w:val="24"/>
        </w:rPr>
        <w:t xml:space="preserve">, </w:t>
      </w:r>
      <w:r w:rsidR="006C0F6B" w:rsidRPr="003E7A82">
        <w:rPr>
          <w:rFonts w:ascii="Times New Roman" w:hAnsi="Times New Roman" w:cs="Times New Roman"/>
          <w:iCs/>
          <w:sz w:val="24"/>
          <w:szCs w:val="24"/>
        </w:rPr>
        <w:t xml:space="preserve">al considerar </w:t>
      </w:r>
      <w:r w:rsidR="00856A21" w:rsidRPr="003E7A82">
        <w:rPr>
          <w:rFonts w:ascii="Times New Roman" w:hAnsi="Times New Roman" w:cs="Times New Roman"/>
          <w:iCs/>
          <w:sz w:val="24"/>
          <w:szCs w:val="24"/>
        </w:rPr>
        <w:t>c</w:t>
      </w:r>
      <w:r w:rsidR="00103BF2" w:rsidRPr="0014660A">
        <w:rPr>
          <w:rFonts w:ascii="Times New Roman" w:hAnsi="Times New Roman" w:cs="Times New Roman"/>
          <w:iCs/>
          <w:sz w:val="24"/>
          <w:szCs w:val="24"/>
        </w:rPr>
        <w:t>ó</w:t>
      </w:r>
      <w:r w:rsidR="00856A21" w:rsidRPr="003E7A82">
        <w:rPr>
          <w:rFonts w:ascii="Times New Roman" w:hAnsi="Times New Roman" w:cs="Times New Roman"/>
          <w:iCs/>
          <w:sz w:val="24"/>
          <w:szCs w:val="24"/>
        </w:rPr>
        <w:t xml:space="preserve">mo </w:t>
      </w:r>
      <w:r w:rsidR="006C0F6B" w:rsidRPr="003E7A82">
        <w:rPr>
          <w:rFonts w:ascii="Times New Roman" w:hAnsi="Times New Roman" w:cs="Times New Roman"/>
          <w:iCs/>
          <w:sz w:val="24"/>
          <w:szCs w:val="24"/>
        </w:rPr>
        <w:t xml:space="preserve">en otros países se </w:t>
      </w:r>
      <w:r w:rsidR="00856A21" w:rsidRPr="003E7A82">
        <w:rPr>
          <w:rFonts w:ascii="Times New Roman" w:hAnsi="Times New Roman" w:cs="Times New Roman"/>
          <w:iCs/>
          <w:sz w:val="24"/>
          <w:szCs w:val="24"/>
        </w:rPr>
        <w:t xml:space="preserve">han resuelto diferentes retos económicos sociales comunes: pobreza, </w:t>
      </w:r>
      <w:r w:rsidR="00633CC0" w:rsidRPr="003E7A82">
        <w:rPr>
          <w:rFonts w:ascii="Times New Roman" w:hAnsi="Times New Roman" w:cs="Times New Roman"/>
          <w:iCs/>
          <w:sz w:val="24"/>
          <w:szCs w:val="24"/>
        </w:rPr>
        <w:t xml:space="preserve">globalización, </w:t>
      </w:r>
      <w:r w:rsidR="00856A21" w:rsidRPr="003E7A82">
        <w:rPr>
          <w:rFonts w:ascii="Times New Roman" w:hAnsi="Times New Roman" w:cs="Times New Roman"/>
          <w:iCs/>
          <w:sz w:val="24"/>
          <w:szCs w:val="24"/>
        </w:rPr>
        <w:t>bono demográfico y atención a la demanda de sus sectores económicos</w:t>
      </w:r>
      <w:r w:rsidR="00692D6A" w:rsidRPr="003E7A82">
        <w:rPr>
          <w:rFonts w:ascii="Times New Roman" w:hAnsi="Times New Roman" w:cs="Times New Roman"/>
          <w:iCs/>
          <w:sz w:val="24"/>
          <w:szCs w:val="24"/>
        </w:rPr>
        <w:t>. Su atención muestra el compromiso social que la educación superior tiene con el país.</w:t>
      </w:r>
    </w:p>
    <w:p w14:paraId="1335E868" w14:textId="74B6DF1E" w:rsidR="00007343" w:rsidRPr="003E7A82" w:rsidRDefault="007B54C7"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Así</w:t>
      </w:r>
      <w:r w:rsidR="00DE3D82" w:rsidRPr="003E7A82">
        <w:rPr>
          <w:rFonts w:ascii="Times New Roman" w:hAnsi="Times New Roman" w:cs="Times New Roman"/>
          <w:iCs/>
          <w:sz w:val="24"/>
          <w:szCs w:val="24"/>
        </w:rPr>
        <w:t xml:space="preserve">, </w:t>
      </w:r>
      <w:r w:rsidR="000A3153" w:rsidRPr="003E7A82">
        <w:rPr>
          <w:rFonts w:ascii="Times New Roman" w:hAnsi="Times New Roman" w:cs="Times New Roman"/>
          <w:iCs/>
          <w:sz w:val="24"/>
          <w:szCs w:val="24"/>
        </w:rPr>
        <w:t xml:space="preserve"> </w:t>
      </w:r>
      <w:r w:rsidR="001B7629" w:rsidRPr="003E7A82">
        <w:rPr>
          <w:rFonts w:ascii="Times New Roman" w:hAnsi="Times New Roman" w:cs="Times New Roman"/>
          <w:iCs/>
          <w:sz w:val="24"/>
          <w:szCs w:val="24"/>
        </w:rPr>
        <w:t xml:space="preserve">mediante una investigación activo participativa, </w:t>
      </w:r>
      <w:r w:rsidR="00723FD0" w:rsidRPr="003E7A82">
        <w:rPr>
          <w:rFonts w:ascii="Times New Roman" w:hAnsi="Times New Roman" w:cs="Times New Roman"/>
          <w:iCs/>
          <w:sz w:val="24"/>
          <w:szCs w:val="24"/>
        </w:rPr>
        <w:t xml:space="preserve">se llevó a cabo una revisión crítica de la literatura identificando </w:t>
      </w:r>
      <w:r w:rsidR="00E24D76" w:rsidRPr="003E7A82">
        <w:rPr>
          <w:rFonts w:ascii="Times New Roman" w:hAnsi="Times New Roman" w:cs="Times New Roman"/>
          <w:iCs/>
          <w:sz w:val="24"/>
          <w:szCs w:val="24"/>
        </w:rPr>
        <w:t>las aportaciones en torno a</w:t>
      </w:r>
      <w:r w:rsidR="00C01578" w:rsidRPr="003E7A82">
        <w:rPr>
          <w:rFonts w:ascii="Times New Roman" w:hAnsi="Times New Roman" w:cs="Times New Roman"/>
          <w:iCs/>
          <w:sz w:val="24"/>
          <w:szCs w:val="24"/>
        </w:rPr>
        <w:t xml:space="preserve"> </w:t>
      </w:r>
      <w:r w:rsidR="008B456B" w:rsidRPr="003E7A82">
        <w:rPr>
          <w:rFonts w:ascii="Times New Roman" w:hAnsi="Times New Roman" w:cs="Times New Roman"/>
          <w:iCs/>
          <w:sz w:val="24"/>
          <w:szCs w:val="24"/>
        </w:rPr>
        <w:t xml:space="preserve">lo que demanda </w:t>
      </w:r>
      <w:r w:rsidR="00F45005" w:rsidRPr="003E7A82">
        <w:rPr>
          <w:rFonts w:ascii="Times New Roman" w:hAnsi="Times New Roman" w:cs="Times New Roman"/>
          <w:iCs/>
          <w:sz w:val="24"/>
          <w:szCs w:val="24"/>
        </w:rPr>
        <w:t>México</w:t>
      </w:r>
      <w:r w:rsidR="008B456B" w:rsidRPr="003E7A82">
        <w:rPr>
          <w:rFonts w:ascii="Times New Roman" w:hAnsi="Times New Roman" w:cs="Times New Roman"/>
          <w:iCs/>
          <w:sz w:val="24"/>
          <w:szCs w:val="24"/>
        </w:rPr>
        <w:t xml:space="preserve"> de sus profesionistas</w:t>
      </w:r>
      <w:r w:rsidR="00D6072D" w:rsidRPr="003E7A82">
        <w:rPr>
          <w:rFonts w:ascii="Times New Roman" w:hAnsi="Times New Roman" w:cs="Times New Roman"/>
          <w:iCs/>
          <w:sz w:val="24"/>
          <w:szCs w:val="24"/>
        </w:rPr>
        <w:t>;</w:t>
      </w:r>
      <w:r w:rsidR="00F45005" w:rsidRPr="003E7A82">
        <w:rPr>
          <w:rFonts w:ascii="Times New Roman" w:hAnsi="Times New Roman" w:cs="Times New Roman"/>
          <w:iCs/>
          <w:sz w:val="24"/>
          <w:szCs w:val="24"/>
        </w:rPr>
        <w:t xml:space="preserve"> </w:t>
      </w:r>
      <w:r w:rsidR="0095561E" w:rsidRPr="003E7A82">
        <w:rPr>
          <w:rFonts w:ascii="Times New Roman" w:hAnsi="Times New Roman" w:cs="Times New Roman"/>
          <w:iCs/>
          <w:sz w:val="24"/>
          <w:szCs w:val="24"/>
        </w:rPr>
        <w:t>los modelos y programas de e</w:t>
      </w:r>
      <w:r w:rsidR="0064664F" w:rsidRPr="003E7A82">
        <w:rPr>
          <w:rFonts w:ascii="Times New Roman" w:hAnsi="Times New Roman" w:cs="Times New Roman"/>
          <w:iCs/>
          <w:sz w:val="24"/>
          <w:szCs w:val="24"/>
        </w:rPr>
        <w:t>ducación superior nacionales y extranjeros</w:t>
      </w:r>
      <w:r w:rsidR="00AE2EF2" w:rsidRPr="003E7A82">
        <w:rPr>
          <w:rFonts w:ascii="Times New Roman" w:hAnsi="Times New Roman" w:cs="Times New Roman"/>
          <w:iCs/>
          <w:sz w:val="24"/>
          <w:szCs w:val="24"/>
        </w:rPr>
        <w:t xml:space="preserve"> en cuanto a la internacionalización de la educación superior</w:t>
      </w:r>
      <w:r w:rsidR="00843FD8" w:rsidRPr="003E7A82">
        <w:rPr>
          <w:rFonts w:ascii="Times New Roman" w:hAnsi="Times New Roman" w:cs="Times New Roman"/>
          <w:iCs/>
          <w:sz w:val="24"/>
          <w:szCs w:val="24"/>
        </w:rPr>
        <w:t xml:space="preserve"> </w:t>
      </w:r>
      <w:r w:rsidR="003C603B" w:rsidRPr="003E7A82">
        <w:rPr>
          <w:rFonts w:ascii="Times New Roman" w:hAnsi="Times New Roman" w:cs="Times New Roman"/>
          <w:iCs/>
          <w:sz w:val="24"/>
          <w:szCs w:val="24"/>
        </w:rPr>
        <w:t xml:space="preserve">y el </w:t>
      </w:r>
      <w:r w:rsidR="00E71F91" w:rsidRPr="003E7A82">
        <w:rPr>
          <w:rFonts w:ascii="Times New Roman" w:hAnsi="Times New Roman" w:cs="Times New Roman"/>
          <w:iCs/>
          <w:sz w:val="24"/>
          <w:szCs w:val="24"/>
        </w:rPr>
        <w:t>paradigma</w:t>
      </w:r>
      <w:r w:rsidR="003C603B" w:rsidRPr="003E7A82">
        <w:rPr>
          <w:rFonts w:ascii="Times New Roman" w:hAnsi="Times New Roman" w:cs="Times New Roman"/>
          <w:iCs/>
          <w:sz w:val="24"/>
          <w:szCs w:val="24"/>
        </w:rPr>
        <w:t xml:space="preserve"> de educación </w:t>
      </w:r>
      <w:r w:rsidR="003C603B" w:rsidRPr="003E7A82">
        <w:rPr>
          <w:rFonts w:ascii="Times New Roman" w:hAnsi="Times New Roman" w:cs="Times New Roman"/>
          <w:iCs/>
          <w:sz w:val="24"/>
          <w:szCs w:val="24"/>
        </w:rPr>
        <w:lastRenderedPageBreak/>
        <w:t>compara</w:t>
      </w:r>
      <w:r w:rsidR="00E71F91" w:rsidRPr="003E7A82">
        <w:rPr>
          <w:rFonts w:ascii="Times New Roman" w:hAnsi="Times New Roman" w:cs="Times New Roman"/>
          <w:iCs/>
          <w:sz w:val="24"/>
          <w:szCs w:val="24"/>
        </w:rPr>
        <w:t>tiva</w:t>
      </w:r>
      <w:r w:rsidR="00D6072D" w:rsidRPr="003E7A82">
        <w:rPr>
          <w:rFonts w:ascii="Times New Roman" w:hAnsi="Times New Roman" w:cs="Times New Roman"/>
          <w:iCs/>
          <w:sz w:val="24"/>
          <w:szCs w:val="24"/>
        </w:rPr>
        <w:t>;</w:t>
      </w:r>
      <w:r w:rsidR="00AE2EF2" w:rsidRPr="003E7A82">
        <w:rPr>
          <w:rFonts w:ascii="Times New Roman" w:hAnsi="Times New Roman" w:cs="Times New Roman"/>
          <w:iCs/>
          <w:sz w:val="24"/>
          <w:szCs w:val="24"/>
        </w:rPr>
        <w:t xml:space="preserve"> </w:t>
      </w:r>
      <w:r w:rsidR="00103BF2" w:rsidRPr="0014660A">
        <w:rPr>
          <w:rFonts w:ascii="Times New Roman" w:hAnsi="Times New Roman" w:cs="Times New Roman"/>
          <w:iCs/>
          <w:sz w:val="24"/>
          <w:szCs w:val="24"/>
        </w:rPr>
        <w:t>así como</w:t>
      </w:r>
      <w:r w:rsidR="00103BF2" w:rsidRPr="003E7A82">
        <w:rPr>
          <w:rFonts w:ascii="Times New Roman" w:hAnsi="Times New Roman" w:cs="Times New Roman"/>
          <w:iCs/>
          <w:sz w:val="24"/>
          <w:szCs w:val="24"/>
        </w:rPr>
        <w:t xml:space="preserve"> </w:t>
      </w:r>
      <w:r w:rsidR="00AE2EF2" w:rsidRPr="003E7A82">
        <w:rPr>
          <w:rFonts w:ascii="Times New Roman" w:hAnsi="Times New Roman" w:cs="Times New Roman"/>
          <w:iCs/>
          <w:sz w:val="24"/>
          <w:szCs w:val="24"/>
        </w:rPr>
        <w:t>los riesgos y retos financieros, tecnológicos, sociales, ambientales, políticos y culturales que enfrenta la educación superior en México</w:t>
      </w:r>
      <w:r w:rsidR="008B456B" w:rsidRPr="003E7A82">
        <w:rPr>
          <w:rFonts w:ascii="Times New Roman" w:hAnsi="Times New Roman" w:cs="Times New Roman"/>
          <w:iCs/>
          <w:sz w:val="24"/>
          <w:szCs w:val="24"/>
        </w:rPr>
        <w:t>.</w:t>
      </w:r>
      <w:r w:rsidR="00C63312" w:rsidRPr="003E7A82">
        <w:rPr>
          <w:rFonts w:ascii="Times New Roman" w:hAnsi="Times New Roman" w:cs="Times New Roman"/>
          <w:iCs/>
          <w:sz w:val="24"/>
          <w:szCs w:val="24"/>
        </w:rPr>
        <w:t xml:space="preserve"> </w:t>
      </w:r>
      <w:r w:rsidR="00CB39C1" w:rsidRPr="003E7A82">
        <w:rPr>
          <w:rFonts w:ascii="Times New Roman" w:hAnsi="Times New Roman" w:cs="Times New Roman"/>
          <w:iCs/>
          <w:sz w:val="24"/>
          <w:szCs w:val="24"/>
        </w:rPr>
        <w:t xml:space="preserve">Se </w:t>
      </w:r>
      <w:r w:rsidR="00CB1211" w:rsidRPr="003E7A82">
        <w:rPr>
          <w:rFonts w:ascii="Times New Roman" w:hAnsi="Times New Roman" w:cs="Times New Roman"/>
          <w:iCs/>
          <w:sz w:val="24"/>
          <w:szCs w:val="24"/>
        </w:rPr>
        <w:t xml:space="preserve">identifican </w:t>
      </w:r>
      <w:r w:rsidR="00CC1883" w:rsidRPr="003E7A82">
        <w:rPr>
          <w:rFonts w:ascii="Times New Roman" w:hAnsi="Times New Roman" w:cs="Times New Roman"/>
          <w:iCs/>
          <w:sz w:val="24"/>
          <w:szCs w:val="24"/>
        </w:rPr>
        <w:t>finalmente aspectos fundamentales y áreas de oportunidad para que la</w:t>
      </w:r>
      <w:r w:rsidR="00921254" w:rsidRPr="003E7A82">
        <w:rPr>
          <w:rFonts w:ascii="Times New Roman" w:hAnsi="Times New Roman" w:cs="Times New Roman"/>
          <w:iCs/>
          <w:sz w:val="24"/>
          <w:szCs w:val="24"/>
        </w:rPr>
        <w:t xml:space="preserve"> educación superior se traduzca en una respuesta más efectiva a</w:t>
      </w:r>
      <w:r w:rsidR="005C3BC5" w:rsidRPr="003E7A82">
        <w:rPr>
          <w:rFonts w:ascii="Times New Roman" w:hAnsi="Times New Roman" w:cs="Times New Roman"/>
          <w:iCs/>
          <w:sz w:val="24"/>
          <w:szCs w:val="24"/>
        </w:rPr>
        <w:t xml:space="preserve"> su</w:t>
      </w:r>
      <w:r w:rsidR="00921254" w:rsidRPr="003E7A82">
        <w:rPr>
          <w:rFonts w:ascii="Times New Roman" w:hAnsi="Times New Roman" w:cs="Times New Roman"/>
          <w:iCs/>
          <w:sz w:val="24"/>
          <w:szCs w:val="24"/>
        </w:rPr>
        <w:t xml:space="preserve"> compromiso social</w:t>
      </w:r>
      <w:r w:rsidR="00D1239E" w:rsidRPr="003E7A82">
        <w:rPr>
          <w:rFonts w:ascii="Times New Roman" w:hAnsi="Times New Roman" w:cs="Times New Roman"/>
          <w:iCs/>
          <w:sz w:val="24"/>
          <w:szCs w:val="24"/>
        </w:rPr>
        <w:t>.</w:t>
      </w:r>
    </w:p>
    <w:p w14:paraId="2F7CEEFA" w14:textId="0A76DF07" w:rsidR="0095424C" w:rsidRPr="00E77F98" w:rsidRDefault="0095424C" w:rsidP="00E77F98">
      <w:pPr>
        <w:spacing w:before="40" w:after="40" w:line="360" w:lineRule="auto"/>
        <w:jc w:val="both"/>
        <w:rPr>
          <w:rFonts w:ascii="Times New Roman" w:hAnsi="Times New Roman" w:cs="Times New Roman"/>
          <w:sz w:val="24"/>
          <w:szCs w:val="24"/>
        </w:rPr>
      </w:pPr>
      <w:r w:rsidRPr="00E77F98">
        <w:rPr>
          <w:rFonts w:cstheme="minorHAnsi"/>
          <w:b/>
          <w:bCs/>
          <w:iCs/>
          <w:sz w:val="28"/>
          <w:szCs w:val="28"/>
        </w:rPr>
        <w:t xml:space="preserve">Palabras </w:t>
      </w:r>
      <w:r w:rsidR="00042DCD" w:rsidRPr="00E77F98">
        <w:rPr>
          <w:rFonts w:cstheme="minorHAnsi"/>
          <w:b/>
          <w:bCs/>
          <w:iCs/>
          <w:sz w:val="28"/>
          <w:szCs w:val="28"/>
        </w:rPr>
        <w:t>clave:</w:t>
      </w:r>
      <w:r w:rsidR="00042DCD" w:rsidRPr="00E77F98">
        <w:rPr>
          <w:rFonts w:ascii="Times New Roman" w:hAnsi="Times New Roman" w:cs="Times New Roman"/>
          <w:sz w:val="24"/>
          <w:szCs w:val="24"/>
        </w:rPr>
        <w:t xml:space="preserve"> bono demográfico, educación comparada, educación superior, compromiso social, investigación participativa, </w:t>
      </w:r>
      <w:proofErr w:type="spellStart"/>
      <w:r w:rsidR="00042DCD" w:rsidRPr="00E77F98">
        <w:rPr>
          <w:rFonts w:ascii="Times New Roman" w:hAnsi="Times New Roman" w:cs="Times New Roman"/>
          <w:sz w:val="24"/>
          <w:szCs w:val="24"/>
        </w:rPr>
        <w:t>near</w:t>
      </w:r>
      <w:proofErr w:type="spellEnd"/>
      <w:r w:rsidR="00042DCD" w:rsidRPr="00E77F98">
        <w:rPr>
          <w:rFonts w:ascii="Times New Roman" w:hAnsi="Times New Roman" w:cs="Times New Roman"/>
          <w:sz w:val="24"/>
          <w:szCs w:val="24"/>
        </w:rPr>
        <w:t xml:space="preserve"> </w:t>
      </w:r>
      <w:proofErr w:type="spellStart"/>
      <w:r w:rsidR="00042DCD" w:rsidRPr="00E77F98">
        <w:rPr>
          <w:rFonts w:ascii="Times New Roman" w:hAnsi="Times New Roman" w:cs="Times New Roman"/>
          <w:sz w:val="24"/>
          <w:szCs w:val="24"/>
        </w:rPr>
        <w:t>shoring</w:t>
      </w:r>
      <w:proofErr w:type="spellEnd"/>
      <w:r w:rsidR="00042DCD" w:rsidRPr="00E77F98">
        <w:rPr>
          <w:rFonts w:ascii="Times New Roman" w:hAnsi="Times New Roman" w:cs="Times New Roman"/>
          <w:sz w:val="24"/>
          <w:szCs w:val="24"/>
        </w:rPr>
        <w:t xml:space="preserve">, </w:t>
      </w:r>
      <w:r w:rsidR="0030114F" w:rsidRPr="00E77F98">
        <w:rPr>
          <w:rFonts w:ascii="Times New Roman" w:hAnsi="Times New Roman" w:cs="Times New Roman"/>
          <w:sz w:val="24"/>
          <w:szCs w:val="24"/>
        </w:rPr>
        <w:t>PAR.</w:t>
      </w:r>
    </w:p>
    <w:p w14:paraId="498E6495" w14:textId="77777777" w:rsidR="00E77F98" w:rsidRPr="0028689B" w:rsidRDefault="00E77F98" w:rsidP="00E77F98">
      <w:pPr>
        <w:spacing w:before="40" w:after="40" w:line="360" w:lineRule="auto"/>
        <w:rPr>
          <w:rFonts w:ascii="Times New Roman" w:hAnsi="Times New Roman" w:cs="Times New Roman"/>
          <w:b/>
          <w:bCs/>
          <w:iCs/>
          <w:sz w:val="24"/>
          <w:szCs w:val="24"/>
        </w:rPr>
      </w:pPr>
    </w:p>
    <w:p w14:paraId="479B1760" w14:textId="0231BF8E" w:rsidR="00351BCE" w:rsidRPr="00CE0131" w:rsidRDefault="00351BCE" w:rsidP="00E77F98">
      <w:pPr>
        <w:spacing w:before="40" w:after="40" w:line="360" w:lineRule="auto"/>
        <w:rPr>
          <w:rFonts w:cstheme="minorHAnsi"/>
          <w:b/>
          <w:bCs/>
          <w:iCs/>
          <w:sz w:val="28"/>
          <w:szCs w:val="28"/>
          <w:lang w:val="en-GB"/>
        </w:rPr>
      </w:pPr>
      <w:r w:rsidRPr="00CE0131">
        <w:rPr>
          <w:rFonts w:cstheme="minorHAnsi"/>
          <w:b/>
          <w:bCs/>
          <w:iCs/>
          <w:sz w:val="28"/>
          <w:szCs w:val="28"/>
          <w:lang w:val="en-GB"/>
        </w:rPr>
        <w:t>Abstract</w:t>
      </w:r>
    </w:p>
    <w:p w14:paraId="0FD44E91" w14:textId="3498D26F" w:rsidR="001C3EFA" w:rsidRPr="00CE0131" w:rsidRDefault="00EF06F2" w:rsidP="00E77F98">
      <w:pPr>
        <w:spacing w:before="40" w:after="40" w:line="360" w:lineRule="auto"/>
        <w:jc w:val="both"/>
        <w:rPr>
          <w:rFonts w:ascii="Times New Roman" w:hAnsi="Times New Roman" w:cs="Times New Roman"/>
          <w:iCs/>
          <w:sz w:val="24"/>
          <w:szCs w:val="24"/>
          <w:lang w:val="en-GB"/>
        </w:rPr>
      </w:pPr>
      <w:r w:rsidRPr="00CE0131">
        <w:rPr>
          <w:rFonts w:ascii="Times New Roman" w:hAnsi="Times New Roman" w:cs="Times New Roman"/>
          <w:iCs/>
          <w:sz w:val="24"/>
          <w:szCs w:val="24"/>
          <w:lang w:val="en-GB"/>
        </w:rPr>
        <w:t>A higher education model can be formally defined</w:t>
      </w:r>
      <w:r w:rsidR="00612EAC" w:rsidRPr="00CE0131">
        <w:rPr>
          <w:rFonts w:ascii="Times New Roman" w:hAnsi="Times New Roman" w:cs="Times New Roman"/>
          <w:iCs/>
          <w:sz w:val="24"/>
          <w:szCs w:val="24"/>
          <w:lang w:val="en-GB"/>
        </w:rPr>
        <w:t>,</w:t>
      </w:r>
      <w:r w:rsidRPr="00CE0131">
        <w:rPr>
          <w:rFonts w:ascii="Times New Roman" w:hAnsi="Times New Roman" w:cs="Times New Roman"/>
          <w:iCs/>
          <w:sz w:val="24"/>
          <w:szCs w:val="24"/>
          <w:lang w:val="en-GB"/>
        </w:rPr>
        <w:t xml:space="preserve"> or it can simply be the result of what is being applied in the educational environment of a country. In either of the</w:t>
      </w:r>
      <w:r w:rsidR="00145D93" w:rsidRPr="00CE0131">
        <w:rPr>
          <w:rFonts w:ascii="Times New Roman" w:hAnsi="Times New Roman" w:cs="Times New Roman"/>
          <w:iCs/>
          <w:sz w:val="24"/>
          <w:szCs w:val="24"/>
          <w:lang w:val="en-GB"/>
        </w:rPr>
        <w:t>m</w:t>
      </w:r>
      <w:r w:rsidRPr="00CE0131">
        <w:rPr>
          <w:rFonts w:ascii="Times New Roman" w:hAnsi="Times New Roman" w:cs="Times New Roman"/>
          <w:iCs/>
          <w:sz w:val="24"/>
          <w:szCs w:val="24"/>
          <w:lang w:val="en-GB"/>
        </w:rPr>
        <w:t xml:space="preserve"> it is important to decide whether it meets the social commitment to which it must respond. This article aims to identify the current situation of higher education in Mexico and the dilemma that its internationalization represents for this purpose, by considering how in other countries different social economic challenges common to all </w:t>
      </w:r>
      <w:r w:rsidR="00854951" w:rsidRPr="00CE0131">
        <w:rPr>
          <w:rFonts w:ascii="Times New Roman" w:hAnsi="Times New Roman" w:cs="Times New Roman"/>
          <w:iCs/>
          <w:sz w:val="24"/>
          <w:szCs w:val="24"/>
          <w:lang w:val="en-GB"/>
        </w:rPr>
        <w:t xml:space="preserve">of </w:t>
      </w:r>
      <w:r w:rsidR="003C31D7" w:rsidRPr="00CE0131">
        <w:rPr>
          <w:rFonts w:ascii="Times New Roman" w:hAnsi="Times New Roman" w:cs="Times New Roman"/>
          <w:iCs/>
          <w:sz w:val="24"/>
          <w:szCs w:val="24"/>
          <w:lang w:val="en-GB"/>
        </w:rPr>
        <w:t>them</w:t>
      </w:r>
      <w:r w:rsidRPr="00CE0131">
        <w:rPr>
          <w:rFonts w:ascii="Times New Roman" w:hAnsi="Times New Roman" w:cs="Times New Roman"/>
          <w:iCs/>
          <w:sz w:val="24"/>
          <w:szCs w:val="24"/>
          <w:lang w:val="en-GB"/>
        </w:rPr>
        <w:t xml:space="preserve"> have been resolved: poverty, globalization, demographic </w:t>
      </w:r>
      <w:r w:rsidR="004428B5" w:rsidRPr="00CE0131">
        <w:rPr>
          <w:rFonts w:ascii="Times New Roman" w:hAnsi="Times New Roman" w:cs="Times New Roman"/>
          <w:iCs/>
          <w:sz w:val="24"/>
          <w:szCs w:val="24"/>
          <w:lang w:val="en-GB"/>
        </w:rPr>
        <w:t xml:space="preserve">bond </w:t>
      </w:r>
      <w:r w:rsidRPr="00CE0131">
        <w:rPr>
          <w:rFonts w:ascii="Times New Roman" w:hAnsi="Times New Roman" w:cs="Times New Roman"/>
          <w:iCs/>
          <w:sz w:val="24"/>
          <w:szCs w:val="24"/>
          <w:lang w:val="en-GB"/>
        </w:rPr>
        <w:t>and attention to the economic sectors</w:t>
      </w:r>
      <w:r w:rsidR="004428B5" w:rsidRPr="00CE0131">
        <w:rPr>
          <w:rFonts w:ascii="Times New Roman" w:hAnsi="Times New Roman" w:cs="Times New Roman"/>
          <w:iCs/>
          <w:sz w:val="24"/>
          <w:szCs w:val="24"/>
          <w:lang w:val="en-GB"/>
        </w:rPr>
        <w:t xml:space="preserve"> demands</w:t>
      </w:r>
      <w:r w:rsidRPr="00CE0131">
        <w:rPr>
          <w:rFonts w:ascii="Times New Roman" w:hAnsi="Times New Roman" w:cs="Times New Roman"/>
          <w:iCs/>
          <w:sz w:val="24"/>
          <w:szCs w:val="24"/>
          <w:lang w:val="en-GB"/>
        </w:rPr>
        <w:t xml:space="preserve">. </w:t>
      </w:r>
      <w:r w:rsidR="00995824" w:rsidRPr="00CE0131">
        <w:rPr>
          <w:rFonts w:ascii="Times New Roman" w:hAnsi="Times New Roman" w:cs="Times New Roman"/>
          <w:iCs/>
          <w:sz w:val="24"/>
          <w:szCs w:val="24"/>
          <w:lang w:val="en-GB"/>
        </w:rPr>
        <w:t>The</w:t>
      </w:r>
      <w:r w:rsidRPr="00CE0131">
        <w:rPr>
          <w:rFonts w:ascii="Times New Roman" w:hAnsi="Times New Roman" w:cs="Times New Roman"/>
          <w:iCs/>
          <w:sz w:val="24"/>
          <w:szCs w:val="24"/>
          <w:lang w:val="en-GB"/>
        </w:rPr>
        <w:t xml:space="preserve"> attention </w:t>
      </w:r>
      <w:r w:rsidR="00995824" w:rsidRPr="00CE0131">
        <w:rPr>
          <w:rFonts w:ascii="Times New Roman" w:hAnsi="Times New Roman" w:cs="Times New Roman"/>
          <w:iCs/>
          <w:sz w:val="24"/>
          <w:szCs w:val="24"/>
          <w:lang w:val="en-GB"/>
        </w:rPr>
        <w:t xml:space="preserve">paid to them </w:t>
      </w:r>
      <w:r w:rsidRPr="00CE0131">
        <w:rPr>
          <w:rFonts w:ascii="Times New Roman" w:hAnsi="Times New Roman" w:cs="Times New Roman"/>
          <w:iCs/>
          <w:sz w:val="24"/>
          <w:szCs w:val="24"/>
          <w:lang w:val="en-GB"/>
        </w:rPr>
        <w:t>shows the social commitment that higher education has with the country.</w:t>
      </w:r>
    </w:p>
    <w:p w14:paraId="6C1594EE" w14:textId="4D9E42AD" w:rsidR="00550BE9" w:rsidRPr="00CE0131" w:rsidRDefault="00BB6A64" w:rsidP="00E77F98">
      <w:pPr>
        <w:spacing w:before="40" w:after="40" w:line="360" w:lineRule="auto"/>
        <w:jc w:val="both"/>
        <w:rPr>
          <w:rFonts w:ascii="Times New Roman" w:hAnsi="Times New Roman" w:cs="Times New Roman"/>
          <w:iCs/>
          <w:sz w:val="24"/>
          <w:szCs w:val="24"/>
          <w:lang w:val="en-GB"/>
        </w:rPr>
      </w:pPr>
      <w:r w:rsidRPr="00CE0131">
        <w:rPr>
          <w:rFonts w:ascii="Times New Roman" w:hAnsi="Times New Roman" w:cs="Times New Roman"/>
          <w:iCs/>
          <w:sz w:val="24"/>
          <w:szCs w:val="24"/>
          <w:lang w:val="en-GB"/>
        </w:rPr>
        <w:t>Thus</w:t>
      </w:r>
      <w:r w:rsidR="001731BD" w:rsidRPr="00CE0131">
        <w:rPr>
          <w:rFonts w:ascii="Times New Roman" w:hAnsi="Times New Roman" w:cs="Times New Roman"/>
          <w:iCs/>
          <w:sz w:val="24"/>
          <w:szCs w:val="24"/>
          <w:lang w:val="en-GB"/>
        </w:rPr>
        <w:t>, through active participatory research, a critical review of the literature was carried out, identifying the contributions regarding what Mexico demands from its professionals, the national and foreign higher education</w:t>
      </w:r>
      <w:r w:rsidR="005F2D16" w:rsidRPr="00CE0131">
        <w:rPr>
          <w:rFonts w:ascii="Times New Roman" w:hAnsi="Times New Roman" w:cs="Times New Roman"/>
          <w:iCs/>
          <w:sz w:val="24"/>
          <w:szCs w:val="24"/>
          <w:lang w:val="en-GB"/>
        </w:rPr>
        <w:t>al</w:t>
      </w:r>
      <w:r w:rsidR="001731BD" w:rsidRPr="00CE0131">
        <w:rPr>
          <w:rFonts w:ascii="Times New Roman" w:hAnsi="Times New Roman" w:cs="Times New Roman"/>
          <w:iCs/>
          <w:sz w:val="24"/>
          <w:szCs w:val="24"/>
          <w:lang w:val="en-GB"/>
        </w:rPr>
        <w:t xml:space="preserve"> models and programs, regarding the internationalization of higher education</w:t>
      </w:r>
      <w:r w:rsidR="003C603B" w:rsidRPr="00CE0131">
        <w:rPr>
          <w:rFonts w:ascii="Times New Roman" w:hAnsi="Times New Roman" w:cs="Times New Roman"/>
          <w:iCs/>
          <w:sz w:val="24"/>
          <w:szCs w:val="24"/>
          <w:lang w:val="en-GB"/>
        </w:rPr>
        <w:t>, and the compar</w:t>
      </w:r>
      <w:r w:rsidR="00E71F91" w:rsidRPr="00CE0131">
        <w:rPr>
          <w:rFonts w:ascii="Times New Roman" w:hAnsi="Times New Roman" w:cs="Times New Roman"/>
          <w:iCs/>
          <w:sz w:val="24"/>
          <w:szCs w:val="24"/>
          <w:lang w:val="en-GB"/>
        </w:rPr>
        <w:t>ative</w:t>
      </w:r>
      <w:r w:rsidR="003C603B" w:rsidRPr="00CE0131">
        <w:rPr>
          <w:rFonts w:ascii="Times New Roman" w:hAnsi="Times New Roman" w:cs="Times New Roman"/>
          <w:iCs/>
          <w:sz w:val="24"/>
          <w:szCs w:val="24"/>
          <w:lang w:val="en-GB"/>
        </w:rPr>
        <w:t xml:space="preserve"> education </w:t>
      </w:r>
      <w:r w:rsidR="00FC0F79" w:rsidRPr="00CE0131">
        <w:rPr>
          <w:rFonts w:ascii="Times New Roman" w:hAnsi="Times New Roman" w:cs="Times New Roman"/>
          <w:iCs/>
          <w:sz w:val="24"/>
          <w:szCs w:val="24"/>
          <w:lang w:val="en-GB"/>
        </w:rPr>
        <w:t>parad</w:t>
      </w:r>
      <w:r w:rsidR="00E71F91" w:rsidRPr="00CE0131">
        <w:rPr>
          <w:rFonts w:ascii="Times New Roman" w:hAnsi="Times New Roman" w:cs="Times New Roman"/>
          <w:iCs/>
          <w:sz w:val="24"/>
          <w:szCs w:val="24"/>
          <w:lang w:val="en-GB"/>
        </w:rPr>
        <w:t>igm</w:t>
      </w:r>
      <w:r w:rsidR="003C603B" w:rsidRPr="00CE0131">
        <w:rPr>
          <w:rFonts w:ascii="Times New Roman" w:hAnsi="Times New Roman" w:cs="Times New Roman"/>
          <w:iCs/>
          <w:sz w:val="24"/>
          <w:szCs w:val="24"/>
          <w:lang w:val="en-GB"/>
        </w:rPr>
        <w:t>;</w:t>
      </w:r>
      <w:r w:rsidR="001731BD" w:rsidRPr="00CE0131">
        <w:rPr>
          <w:rFonts w:ascii="Times New Roman" w:hAnsi="Times New Roman" w:cs="Times New Roman"/>
          <w:iCs/>
          <w:sz w:val="24"/>
          <w:szCs w:val="24"/>
          <w:lang w:val="en-GB"/>
        </w:rPr>
        <w:t xml:space="preserve"> and the financial, technological, social, environmental, political and cultural risks and challenges facing higher education in Mexico. </w:t>
      </w:r>
      <w:r w:rsidR="003473F8" w:rsidRPr="00CE0131">
        <w:rPr>
          <w:rFonts w:ascii="Times New Roman" w:hAnsi="Times New Roman" w:cs="Times New Roman"/>
          <w:iCs/>
          <w:sz w:val="24"/>
          <w:szCs w:val="24"/>
          <w:lang w:val="en-GB"/>
        </w:rPr>
        <w:t xml:space="preserve">Finally, fundamental aspects and areas of opportunity are identified so that higher education translates into a more effective response to </w:t>
      </w:r>
      <w:r w:rsidR="005C3BC5" w:rsidRPr="00CE0131">
        <w:rPr>
          <w:rFonts w:ascii="Times New Roman" w:hAnsi="Times New Roman" w:cs="Times New Roman"/>
          <w:iCs/>
          <w:sz w:val="24"/>
          <w:szCs w:val="24"/>
          <w:lang w:val="en-GB"/>
        </w:rPr>
        <w:t xml:space="preserve">its </w:t>
      </w:r>
      <w:r w:rsidR="003473F8" w:rsidRPr="00CE0131">
        <w:rPr>
          <w:rFonts w:ascii="Times New Roman" w:hAnsi="Times New Roman" w:cs="Times New Roman"/>
          <w:iCs/>
          <w:sz w:val="24"/>
          <w:szCs w:val="24"/>
          <w:lang w:val="en-GB"/>
        </w:rPr>
        <w:t>social commitment.</w:t>
      </w:r>
    </w:p>
    <w:p w14:paraId="02F40F6B" w14:textId="7E6A4A6B" w:rsidR="006A4478" w:rsidRDefault="0095424C" w:rsidP="00E77F98">
      <w:pPr>
        <w:tabs>
          <w:tab w:val="left" w:pos="5670"/>
        </w:tabs>
        <w:spacing w:before="40" w:after="40" w:line="360" w:lineRule="auto"/>
        <w:jc w:val="both"/>
        <w:rPr>
          <w:rFonts w:ascii="Times New Roman" w:hAnsi="Times New Roman" w:cs="Times New Roman"/>
          <w:iCs/>
          <w:sz w:val="24"/>
          <w:szCs w:val="24"/>
          <w:lang w:val="en-GB"/>
        </w:rPr>
      </w:pPr>
      <w:r w:rsidRPr="00CE0131">
        <w:rPr>
          <w:rFonts w:cstheme="minorHAnsi"/>
          <w:b/>
          <w:bCs/>
          <w:iCs/>
          <w:sz w:val="28"/>
          <w:szCs w:val="28"/>
          <w:lang w:val="en-GB"/>
        </w:rPr>
        <w:t>Keywords:</w:t>
      </w:r>
      <w:r w:rsidRPr="00CE0131">
        <w:rPr>
          <w:rFonts w:ascii="Times New Roman" w:hAnsi="Times New Roman" w:cs="Times New Roman"/>
          <w:i/>
          <w:sz w:val="24"/>
          <w:szCs w:val="24"/>
          <w:lang w:val="en-GB"/>
        </w:rPr>
        <w:t xml:space="preserve"> </w:t>
      </w:r>
      <w:r w:rsidR="0030114F" w:rsidRPr="00CE0131">
        <w:rPr>
          <w:rFonts w:ascii="Times New Roman" w:hAnsi="Times New Roman" w:cs="Times New Roman"/>
          <w:iCs/>
          <w:sz w:val="24"/>
          <w:szCs w:val="24"/>
          <w:lang w:val="en-GB"/>
        </w:rPr>
        <w:t>demographic bond, comparative education, higher education, social commitment, participative research, near shoring</w:t>
      </w:r>
      <w:r w:rsidRPr="00CE0131">
        <w:rPr>
          <w:rFonts w:ascii="Times New Roman" w:hAnsi="Times New Roman" w:cs="Times New Roman"/>
          <w:iCs/>
          <w:sz w:val="24"/>
          <w:szCs w:val="24"/>
          <w:lang w:val="en-GB"/>
        </w:rPr>
        <w:t xml:space="preserve">, </w:t>
      </w:r>
      <w:r w:rsidR="00BA4AC0" w:rsidRPr="00CE0131">
        <w:rPr>
          <w:rFonts w:ascii="Times New Roman" w:hAnsi="Times New Roman" w:cs="Times New Roman"/>
          <w:iCs/>
          <w:sz w:val="24"/>
          <w:szCs w:val="24"/>
          <w:lang w:val="en-GB"/>
        </w:rPr>
        <w:t>PAR</w:t>
      </w:r>
      <w:r w:rsidR="0030114F" w:rsidRPr="00CE0131">
        <w:rPr>
          <w:rFonts w:ascii="Times New Roman" w:hAnsi="Times New Roman" w:cs="Times New Roman"/>
          <w:iCs/>
          <w:sz w:val="24"/>
          <w:szCs w:val="24"/>
          <w:lang w:val="en-GB"/>
        </w:rPr>
        <w:t>.</w:t>
      </w:r>
    </w:p>
    <w:p w14:paraId="7E717C26" w14:textId="77777777" w:rsidR="006020CA" w:rsidRDefault="006020CA" w:rsidP="00E77F98">
      <w:pPr>
        <w:tabs>
          <w:tab w:val="left" w:pos="5670"/>
        </w:tabs>
        <w:spacing w:before="40" w:after="40" w:line="360" w:lineRule="auto"/>
        <w:jc w:val="both"/>
        <w:rPr>
          <w:rFonts w:ascii="Times New Roman" w:hAnsi="Times New Roman" w:cs="Times New Roman"/>
          <w:iCs/>
          <w:sz w:val="24"/>
          <w:szCs w:val="24"/>
          <w:lang w:val="en-GB"/>
        </w:rPr>
      </w:pPr>
    </w:p>
    <w:p w14:paraId="4A24B8DA" w14:textId="77777777" w:rsidR="006020CA" w:rsidRDefault="006020CA" w:rsidP="00E77F98">
      <w:pPr>
        <w:tabs>
          <w:tab w:val="left" w:pos="5670"/>
        </w:tabs>
        <w:spacing w:before="40" w:after="40" w:line="360" w:lineRule="auto"/>
        <w:jc w:val="both"/>
        <w:rPr>
          <w:rFonts w:ascii="Times New Roman" w:hAnsi="Times New Roman" w:cs="Times New Roman"/>
          <w:iCs/>
          <w:sz w:val="24"/>
          <w:szCs w:val="24"/>
          <w:lang w:val="en-GB"/>
        </w:rPr>
      </w:pPr>
    </w:p>
    <w:p w14:paraId="55080AB4" w14:textId="77777777" w:rsidR="006020CA" w:rsidRDefault="006020CA" w:rsidP="00E77F98">
      <w:pPr>
        <w:tabs>
          <w:tab w:val="left" w:pos="5670"/>
        </w:tabs>
        <w:spacing w:before="40" w:after="40" w:line="360" w:lineRule="auto"/>
        <w:jc w:val="both"/>
        <w:rPr>
          <w:rFonts w:ascii="Times New Roman" w:hAnsi="Times New Roman" w:cs="Times New Roman"/>
          <w:iCs/>
          <w:sz w:val="24"/>
          <w:szCs w:val="24"/>
          <w:lang w:val="en-GB"/>
        </w:rPr>
      </w:pPr>
    </w:p>
    <w:p w14:paraId="09FBB0D6" w14:textId="77777777" w:rsidR="006020CA" w:rsidRDefault="006020CA" w:rsidP="00E77F98">
      <w:pPr>
        <w:tabs>
          <w:tab w:val="left" w:pos="5670"/>
        </w:tabs>
        <w:spacing w:before="40" w:after="40" w:line="360" w:lineRule="auto"/>
        <w:jc w:val="both"/>
        <w:rPr>
          <w:rFonts w:ascii="Times New Roman" w:hAnsi="Times New Roman" w:cs="Times New Roman"/>
          <w:iCs/>
          <w:sz w:val="24"/>
          <w:szCs w:val="24"/>
          <w:lang w:val="en-GB"/>
        </w:rPr>
      </w:pPr>
    </w:p>
    <w:p w14:paraId="14B15336" w14:textId="77777777" w:rsidR="006020CA" w:rsidRDefault="006020CA" w:rsidP="00E77F98">
      <w:pPr>
        <w:tabs>
          <w:tab w:val="left" w:pos="5670"/>
        </w:tabs>
        <w:spacing w:before="40" w:after="40" w:line="360" w:lineRule="auto"/>
        <w:jc w:val="both"/>
        <w:rPr>
          <w:rFonts w:ascii="Times New Roman" w:hAnsi="Times New Roman" w:cs="Times New Roman"/>
          <w:iCs/>
          <w:sz w:val="24"/>
          <w:szCs w:val="24"/>
          <w:lang w:val="en-GB"/>
        </w:rPr>
      </w:pPr>
    </w:p>
    <w:p w14:paraId="2097397E" w14:textId="77777777" w:rsidR="006020CA" w:rsidRDefault="006020CA" w:rsidP="00E77F98">
      <w:pPr>
        <w:tabs>
          <w:tab w:val="left" w:pos="5670"/>
        </w:tabs>
        <w:spacing w:before="40" w:after="40" w:line="360" w:lineRule="auto"/>
        <w:jc w:val="both"/>
        <w:rPr>
          <w:rFonts w:ascii="Times New Roman" w:hAnsi="Times New Roman" w:cs="Times New Roman"/>
          <w:iCs/>
          <w:sz w:val="24"/>
          <w:szCs w:val="24"/>
          <w:lang w:val="en-GB"/>
        </w:rPr>
      </w:pPr>
    </w:p>
    <w:p w14:paraId="6C389FFC" w14:textId="77777777" w:rsidR="006020CA" w:rsidRDefault="006020CA" w:rsidP="00E77F98">
      <w:pPr>
        <w:tabs>
          <w:tab w:val="left" w:pos="5670"/>
        </w:tabs>
        <w:spacing w:before="40" w:after="40" w:line="360" w:lineRule="auto"/>
        <w:jc w:val="both"/>
        <w:rPr>
          <w:rFonts w:ascii="Times New Roman" w:hAnsi="Times New Roman" w:cs="Times New Roman"/>
          <w:iCs/>
          <w:sz w:val="24"/>
          <w:szCs w:val="24"/>
          <w:lang w:val="en-GB"/>
        </w:rPr>
      </w:pPr>
    </w:p>
    <w:p w14:paraId="4B2F215F" w14:textId="10F36EF6" w:rsidR="006020CA" w:rsidRPr="006020CA" w:rsidRDefault="006020CA" w:rsidP="00E77F98">
      <w:pPr>
        <w:tabs>
          <w:tab w:val="left" w:pos="5670"/>
        </w:tabs>
        <w:spacing w:before="40" w:after="40" w:line="360" w:lineRule="auto"/>
        <w:jc w:val="both"/>
        <w:rPr>
          <w:rFonts w:cstheme="minorHAnsi"/>
          <w:b/>
          <w:bCs/>
          <w:iCs/>
          <w:sz w:val="28"/>
          <w:szCs w:val="28"/>
          <w:lang w:val="en-GB"/>
        </w:rPr>
      </w:pPr>
      <w:proofErr w:type="spellStart"/>
      <w:r w:rsidRPr="006020CA">
        <w:rPr>
          <w:rFonts w:cstheme="minorHAnsi"/>
          <w:b/>
          <w:bCs/>
          <w:iCs/>
          <w:sz w:val="28"/>
          <w:szCs w:val="28"/>
          <w:lang w:val="en-GB"/>
        </w:rPr>
        <w:t>Resumo</w:t>
      </w:r>
      <w:proofErr w:type="spellEnd"/>
    </w:p>
    <w:p w14:paraId="5A8F2C31" w14:textId="77777777" w:rsidR="006020CA" w:rsidRPr="006020CA" w:rsidRDefault="006020CA" w:rsidP="006020CA">
      <w:pPr>
        <w:tabs>
          <w:tab w:val="left" w:pos="5670"/>
        </w:tabs>
        <w:spacing w:before="40" w:after="40" w:line="360" w:lineRule="auto"/>
        <w:jc w:val="both"/>
        <w:rPr>
          <w:rFonts w:ascii="Times New Roman" w:hAnsi="Times New Roman" w:cs="Times New Roman"/>
          <w:iCs/>
          <w:sz w:val="24"/>
          <w:szCs w:val="24"/>
          <w:lang w:val="en-GB"/>
        </w:rPr>
      </w:pPr>
      <w:r w:rsidRPr="006020CA">
        <w:rPr>
          <w:rFonts w:ascii="Times New Roman" w:hAnsi="Times New Roman" w:cs="Times New Roman"/>
          <w:iCs/>
          <w:sz w:val="24"/>
          <w:szCs w:val="24"/>
          <w:lang w:val="en-GB"/>
        </w:rPr>
        <w:t xml:space="preserve">Um </w:t>
      </w:r>
      <w:proofErr w:type="spellStart"/>
      <w:r w:rsidRPr="006020CA">
        <w:rPr>
          <w:rFonts w:ascii="Times New Roman" w:hAnsi="Times New Roman" w:cs="Times New Roman"/>
          <w:iCs/>
          <w:sz w:val="24"/>
          <w:szCs w:val="24"/>
          <w:lang w:val="en-GB"/>
        </w:rPr>
        <w:t>modelo</w:t>
      </w:r>
      <w:proofErr w:type="spellEnd"/>
      <w:r w:rsidRPr="006020CA">
        <w:rPr>
          <w:rFonts w:ascii="Times New Roman" w:hAnsi="Times New Roman" w:cs="Times New Roman"/>
          <w:iCs/>
          <w:sz w:val="24"/>
          <w:szCs w:val="24"/>
          <w:lang w:val="en-GB"/>
        </w:rPr>
        <w:t xml:space="preserve"> de </w:t>
      </w:r>
      <w:proofErr w:type="spellStart"/>
      <w:r w:rsidRPr="006020CA">
        <w:rPr>
          <w:rFonts w:ascii="Times New Roman" w:hAnsi="Times New Roman" w:cs="Times New Roman"/>
          <w:iCs/>
          <w:sz w:val="24"/>
          <w:szCs w:val="24"/>
          <w:lang w:val="en-GB"/>
        </w:rPr>
        <w:t>ensino</w:t>
      </w:r>
      <w:proofErr w:type="spellEnd"/>
      <w:r w:rsidRPr="006020CA">
        <w:rPr>
          <w:rFonts w:ascii="Times New Roman" w:hAnsi="Times New Roman" w:cs="Times New Roman"/>
          <w:iCs/>
          <w:sz w:val="24"/>
          <w:szCs w:val="24"/>
          <w:lang w:val="en-GB"/>
        </w:rPr>
        <w:t xml:space="preserve"> superior </w:t>
      </w:r>
      <w:proofErr w:type="spellStart"/>
      <w:r w:rsidRPr="006020CA">
        <w:rPr>
          <w:rFonts w:ascii="Times New Roman" w:hAnsi="Times New Roman" w:cs="Times New Roman"/>
          <w:iCs/>
          <w:sz w:val="24"/>
          <w:szCs w:val="24"/>
          <w:lang w:val="en-GB"/>
        </w:rPr>
        <w:t>pode</w:t>
      </w:r>
      <w:proofErr w:type="spellEnd"/>
      <w:r w:rsidRPr="006020CA">
        <w:rPr>
          <w:rFonts w:ascii="Times New Roman" w:hAnsi="Times New Roman" w:cs="Times New Roman"/>
          <w:iCs/>
          <w:sz w:val="24"/>
          <w:szCs w:val="24"/>
          <w:lang w:val="en-GB"/>
        </w:rPr>
        <w:t xml:space="preserve"> ser </w:t>
      </w:r>
      <w:proofErr w:type="spellStart"/>
      <w:r w:rsidRPr="006020CA">
        <w:rPr>
          <w:rFonts w:ascii="Times New Roman" w:hAnsi="Times New Roman" w:cs="Times New Roman"/>
          <w:iCs/>
          <w:sz w:val="24"/>
          <w:szCs w:val="24"/>
          <w:lang w:val="en-GB"/>
        </w:rPr>
        <w:t>definido</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formalmente</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ou</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simplesmente</w:t>
      </w:r>
      <w:proofErr w:type="spellEnd"/>
      <w:r w:rsidRPr="006020CA">
        <w:rPr>
          <w:rFonts w:ascii="Times New Roman" w:hAnsi="Times New Roman" w:cs="Times New Roman"/>
          <w:iCs/>
          <w:sz w:val="24"/>
          <w:szCs w:val="24"/>
          <w:lang w:val="en-GB"/>
        </w:rPr>
        <w:t xml:space="preserve"> ser o </w:t>
      </w:r>
      <w:proofErr w:type="spellStart"/>
      <w:r w:rsidRPr="006020CA">
        <w:rPr>
          <w:rFonts w:ascii="Times New Roman" w:hAnsi="Times New Roman" w:cs="Times New Roman"/>
          <w:iCs/>
          <w:sz w:val="24"/>
          <w:szCs w:val="24"/>
          <w:lang w:val="en-GB"/>
        </w:rPr>
        <w:t>resultado</w:t>
      </w:r>
      <w:proofErr w:type="spellEnd"/>
      <w:r w:rsidRPr="006020CA">
        <w:rPr>
          <w:rFonts w:ascii="Times New Roman" w:hAnsi="Times New Roman" w:cs="Times New Roman"/>
          <w:iCs/>
          <w:sz w:val="24"/>
          <w:szCs w:val="24"/>
          <w:lang w:val="en-GB"/>
        </w:rPr>
        <w:t xml:space="preserve"> do </w:t>
      </w:r>
      <w:proofErr w:type="spellStart"/>
      <w:r w:rsidRPr="006020CA">
        <w:rPr>
          <w:rFonts w:ascii="Times New Roman" w:hAnsi="Times New Roman" w:cs="Times New Roman"/>
          <w:iCs/>
          <w:sz w:val="24"/>
          <w:szCs w:val="24"/>
          <w:lang w:val="en-GB"/>
        </w:rPr>
        <w:t>que</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está</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sendo</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aplicado</w:t>
      </w:r>
      <w:proofErr w:type="spellEnd"/>
      <w:r w:rsidRPr="006020CA">
        <w:rPr>
          <w:rFonts w:ascii="Times New Roman" w:hAnsi="Times New Roman" w:cs="Times New Roman"/>
          <w:iCs/>
          <w:sz w:val="24"/>
          <w:szCs w:val="24"/>
          <w:lang w:val="en-GB"/>
        </w:rPr>
        <w:t xml:space="preserve"> no campo </w:t>
      </w:r>
      <w:proofErr w:type="spellStart"/>
      <w:r w:rsidRPr="006020CA">
        <w:rPr>
          <w:rFonts w:ascii="Times New Roman" w:hAnsi="Times New Roman" w:cs="Times New Roman"/>
          <w:iCs/>
          <w:sz w:val="24"/>
          <w:szCs w:val="24"/>
          <w:lang w:val="en-GB"/>
        </w:rPr>
        <w:t>educacional</w:t>
      </w:r>
      <w:proofErr w:type="spellEnd"/>
      <w:r w:rsidRPr="006020CA">
        <w:rPr>
          <w:rFonts w:ascii="Times New Roman" w:hAnsi="Times New Roman" w:cs="Times New Roman"/>
          <w:iCs/>
          <w:sz w:val="24"/>
          <w:szCs w:val="24"/>
          <w:lang w:val="en-GB"/>
        </w:rPr>
        <w:t xml:space="preserve"> de um </w:t>
      </w:r>
      <w:proofErr w:type="spellStart"/>
      <w:r w:rsidRPr="006020CA">
        <w:rPr>
          <w:rFonts w:ascii="Times New Roman" w:hAnsi="Times New Roman" w:cs="Times New Roman"/>
          <w:iCs/>
          <w:sz w:val="24"/>
          <w:szCs w:val="24"/>
          <w:lang w:val="en-GB"/>
        </w:rPr>
        <w:t>país</w:t>
      </w:r>
      <w:proofErr w:type="spellEnd"/>
      <w:r w:rsidRPr="006020CA">
        <w:rPr>
          <w:rFonts w:ascii="Times New Roman" w:hAnsi="Times New Roman" w:cs="Times New Roman"/>
          <w:iCs/>
          <w:sz w:val="24"/>
          <w:szCs w:val="24"/>
          <w:lang w:val="en-GB"/>
        </w:rPr>
        <w:t xml:space="preserve">. Em </w:t>
      </w:r>
      <w:proofErr w:type="spellStart"/>
      <w:r w:rsidRPr="006020CA">
        <w:rPr>
          <w:rFonts w:ascii="Times New Roman" w:hAnsi="Times New Roman" w:cs="Times New Roman"/>
          <w:iCs/>
          <w:sz w:val="24"/>
          <w:szCs w:val="24"/>
          <w:lang w:val="en-GB"/>
        </w:rPr>
        <w:t>qualquer</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uma</w:t>
      </w:r>
      <w:proofErr w:type="spellEnd"/>
      <w:r w:rsidRPr="006020CA">
        <w:rPr>
          <w:rFonts w:ascii="Times New Roman" w:hAnsi="Times New Roman" w:cs="Times New Roman"/>
          <w:iCs/>
          <w:sz w:val="24"/>
          <w:szCs w:val="24"/>
          <w:lang w:val="en-GB"/>
        </w:rPr>
        <w:t xml:space="preserve"> das duas </w:t>
      </w:r>
      <w:proofErr w:type="spellStart"/>
      <w:r w:rsidRPr="006020CA">
        <w:rPr>
          <w:rFonts w:ascii="Times New Roman" w:hAnsi="Times New Roman" w:cs="Times New Roman"/>
          <w:iCs/>
          <w:sz w:val="24"/>
          <w:szCs w:val="24"/>
          <w:lang w:val="en-GB"/>
        </w:rPr>
        <w:t>circunstâncias</w:t>
      </w:r>
      <w:proofErr w:type="spellEnd"/>
      <w:r w:rsidRPr="006020CA">
        <w:rPr>
          <w:rFonts w:ascii="Times New Roman" w:hAnsi="Times New Roman" w:cs="Times New Roman"/>
          <w:iCs/>
          <w:sz w:val="24"/>
          <w:szCs w:val="24"/>
          <w:lang w:val="en-GB"/>
        </w:rPr>
        <w:t xml:space="preserve">, é </w:t>
      </w:r>
      <w:proofErr w:type="spellStart"/>
      <w:r w:rsidRPr="006020CA">
        <w:rPr>
          <w:rFonts w:ascii="Times New Roman" w:hAnsi="Times New Roman" w:cs="Times New Roman"/>
          <w:iCs/>
          <w:sz w:val="24"/>
          <w:szCs w:val="24"/>
          <w:lang w:val="en-GB"/>
        </w:rPr>
        <w:t>importante</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decidir</w:t>
      </w:r>
      <w:proofErr w:type="spellEnd"/>
      <w:r w:rsidRPr="006020CA">
        <w:rPr>
          <w:rFonts w:ascii="Times New Roman" w:hAnsi="Times New Roman" w:cs="Times New Roman"/>
          <w:iCs/>
          <w:sz w:val="24"/>
          <w:szCs w:val="24"/>
          <w:lang w:val="en-GB"/>
        </w:rPr>
        <w:t xml:space="preserve"> se </w:t>
      </w:r>
      <w:proofErr w:type="spellStart"/>
      <w:r w:rsidRPr="006020CA">
        <w:rPr>
          <w:rFonts w:ascii="Times New Roman" w:hAnsi="Times New Roman" w:cs="Times New Roman"/>
          <w:iCs/>
          <w:sz w:val="24"/>
          <w:szCs w:val="24"/>
          <w:lang w:val="en-GB"/>
        </w:rPr>
        <w:t>cumpre</w:t>
      </w:r>
      <w:proofErr w:type="spellEnd"/>
      <w:r w:rsidRPr="006020CA">
        <w:rPr>
          <w:rFonts w:ascii="Times New Roman" w:hAnsi="Times New Roman" w:cs="Times New Roman"/>
          <w:iCs/>
          <w:sz w:val="24"/>
          <w:szCs w:val="24"/>
          <w:lang w:val="en-GB"/>
        </w:rPr>
        <w:t xml:space="preserve"> o </w:t>
      </w:r>
      <w:proofErr w:type="spellStart"/>
      <w:r w:rsidRPr="006020CA">
        <w:rPr>
          <w:rFonts w:ascii="Times New Roman" w:hAnsi="Times New Roman" w:cs="Times New Roman"/>
          <w:iCs/>
          <w:sz w:val="24"/>
          <w:szCs w:val="24"/>
          <w:lang w:val="en-GB"/>
        </w:rPr>
        <w:t>compromisso</w:t>
      </w:r>
      <w:proofErr w:type="spellEnd"/>
      <w:r w:rsidRPr="006020CA">
        <w:rPr>
          <w:rFonts w:ascii="Times New Roman" w:hAnsi="Times New Roman" w:cs="Times New Roman"/>
          <w:iCs/>
          <w:sz w:val="24"/>
          <w:szCs w:val="24"/>
          <w:lang w:val="en-GB"/>
        </w:rPr>
        <w:t xml:space="preserve"> social </w:t>
      </w:r>
      <w:proofErr w:type="spellStart"/>
      <w:r w:rsidRPr="006020CA">
        <w:rPr>
          <w:rFonts w:ascii="Times New Roman" w:hAnsi="Times New Roman" w:cs="Times New Roman"/>
          <w:iCs/>
          <w:sz w:val="24"/>
          <w:szCs w:val="24"/>
          <w:lang w:val="en-GB"/>
        </w:rPr>
        <w:t>ao</w:t>
      </w:r>
      <w:proofErr w:type="spellEnd"/>
      <w:r w:rsidRPr="006020CA">
        <w:rPr>
          <w:rFonts w:ascii="Times New Roman" w:hAnsi="Times New Roman" w:cs="Times New Roman"/>
          <w:iCs/>
          <w:sz w:val="24"/>
          <w:szCs w:val="24"/>
          <w:lang w:val="en-GB"/>
        </w:rPr>
        <w:t xml:space="preserve"> qual </w:t>
      </w:r>
      <w:proofErr w:type="spellStart"/>
      <w:r w:rsidRPr="006020CA">
        <w:rPr>
          <w:rFonts w:ascii="Times New Roman" w:hAnsi="Times New Roman" w:cs="Times New Roman"/>
          <w:iCs/>
          <w:sz w:val="24"/>
          <w:szCs w:val="24"/>
          <w:lang w:val="en-GB"/>
        </w:rPr>
        <w:t>deve</w:t>
      </w:r>
      <w:proofErr w:type="spellEnd"/>
      <w:r w:rsidRPr="006020CA">
        <w:rPr>
          <w:rFonts w:ascii="Times New Roman" w:hAnsi="Times New Roman" w:cs="Times New Roman"/>
          <w:iCs/>
          <w:sz w:val="24"/>
          <w:szCs w:val="24"/>
          <w:lang w:val="en-GB"/>
        </w:rPr>
        <w:t xml:space="preserve"> responder. Este </w:t>
      </w:r>
      <w:proofErr w:type="spellStart"/>
      <w:r w:rsidRPr="006020CA">
        <w:rPr>
          <w:rFonts w:ascii="Times New Roman" w:hAnsi="Times New Roman" w:cs="Times New Roman"/>
          <w:iCs/>
          <w:sz w:val="24"/>
          <w:szCs w:val="24"/>
          <w:lang w:val="en-GB"/>
        </w:rPr>
        <w:t>trabalho</w:t>
      </w:r>
      <w:proofErr w:type="spellEnd"/>
      <w:r w:rsidRPr="006020CA">
        <w:rPr>
          <w:rFonts w:ascii="Times New Roman" w:hAnsi="Times New Roman" w:cs="Times New Roman"/>
          <w:iCs/>
          <w:sz w:val="24"/>
          <w:szCs w:val="24"/>
          <w:lang w:val="en-GB"/>
        </w:rPr>
        <w:t xml:space="preserve"> visa </w:t>
      </w:r>
      <w:proofErr w:type="spellStart"/>
      <w:r w:rsidRPr="006020CA">
        <w:rPr>
          <w:rFonts w:ascii="Times New Roman" w:hAnsi="Times New Roman" w:cs="Times New Roman"/>
          <w:iCs/>
          <w:sz w:val="24"/>
          <w:szCs w:val="24"/>
          <w:lang w:val="en-GB"/>
        </w:rPr>
        <w:t>identificar</w:t>
      </w:r>
      <w:proofErr w:type="spellEnd"/>
      <w:r w:rsidRPr="006020CA">
        <w:rPr>
          <w:rFonts w:ascii="Times New Roman" w:hAnsi="Times New Roman" w:cs="Times New Roman"/>
          <w:iCs/>
          <w:sz w:val="24"/>
          <w:szCs w:val="24"/>
          <w:lang w:val="en-GB"/>
        </w:rPr>
        <w:t xml:space="preserve"> a </w:t>
      </w:r>
      <w:proofErr w:type="spellStart"/>
      <w:r w:rsidRPr="006020CA">
        <w:rPr>
          <w:rFonts w:ascii="Times New Roman" w:hAnsi="Times New Roman" w:cs="Times New Roman"/>
          <w:iCs/>
          <w:sz w:val="24"/>
          <w:szCs w:val="24"/>
          <w:lang w:val="en-GB"/>
        </w:rPr>
        <w:t>situação</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atual</w:t>
      </w:r>
      <w:proofErr w:type="spellEnd"/>
      <w:r w:rsidRPr="006020CA">
        <w:rPr>
          <w:rFonts w:ascii="Times New Roman" w:hAnsi="Times New Roman" w:cs="Times New Roman"/>
          <w:iCs/>
          <w:sz w:val="24"/>
          <w:szCs w:val="24"/>
          <w:lang w:val="en-GB"/>
        </w:rPr>
        <w:t xml:space="preserve"> do </w:t>
      </w:r>
      <w:proofErr w:type="spellStart"/>
      <w:r w:rsidRPr="006020CA">
        <w:rPr>
          <w:rFonts w:ascii="Times New Roman" w:hAnsi="Times New Roman" w:cs="Times New Roman"/>
          <w:iCs/>
          <w:sz w:val="24"/>
          <w:szCs w:val="24"/>
          <w:lang w:val="en-GB"/>
        </w:rPr>
        <w:t>ensino</w:t>
      </w:r>
      <w:proofErr w:type="spellEnd"/>
      <w:r w:rsidRPr="006020CA">
        <w:rPr>
          <w:rFonts w:ascii="Times New Roman" w:hAnsi="Times New Roman" w:cs="Times New Roman"/>
          <w:iCs/>
          <w:sz w:val="24"/>
          <w:szCs w:val="24"/>
          <w:lang w:val="en-GB"/>
        </w:rPr>
        <w:t xml:space="preserve"> superior no México e o </w:t>
      </w:r>
      <w:proofErr w:type="spellStart"/>
      <w:r w:rsidRPr="006020CA">
        <w:rPr>
          <w:rFonts w:ascii="Times New Roman" w:hAnsi="Times New Roman" w:cs="Times New Roman"/>
          <w:iCs/>
          <w:sz w:val="24"/>
          <w:szCs w:val="24"/>
          <w:lang w:val="en-GB"/>
        </w:rPr>
        <w:t>dilema</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que</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sua</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internacionalização</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representa</w:t>
      </w:r>
      <w:proofErr w:type="spellEnd"/>
      <w:r w:rsidRPr="006020CA">
        <w:rPr>
          <w:rFonts w:ascii="Times New Roman" w:hAnsi="Times New Roman" w:cs="Times New Roman"/>
          <w:iCs/>
          <w:sz w:val="24"/>
          <w:szCs w:val="24"/>
          <w:lang w:val="en-GB"/>
        </w:rPr>
        <w:t xml:space="preserve"> para esse </w:t>
      </w:r>
      <w:proofErr w:type="spellStart"/>
      <w:r w:rsidRPr="006020CA">
        <w:rPr>
          <w:rFonts w:ascii="Times New Roman" w:hAnsi="Times New Roman" w:cs="Times New Roman"/>
          <w:iCs/>
          <w:sz w:val="24"/>
          <w:szCs w:val="24"/>
          <w:lang w:val="en-GB"/>
        </w:rPr>
        <w:t>fim</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considerando</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como</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diferentes</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desafios</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socioeconômicos</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comuns</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foram</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resolvidos</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em</w:t>
      </w:r>
      <w:proofErr w:type="spellEnd"/>
      <w:r w:rsidRPr="006020CA">
        <w:rPr>
          <w:rFonts w:ascii="Times New Roman" w:hAnsi="Times New Roman" w:cs="Times New Roman"/>
          <w:iCs/>
          <w:sz w:val="24"/>
          <w:szCs w:val="24"/>
          <w:lang w:val="en-GB"/>
        </w:rPr>
        <w:t xml:space="preserve"> outros </w:t>
      </w:r>
      <w:proofErr w:type="spellStart"/>
      <w:r w:rsidRPr="006020CA">
        <w:rPr>
          <w:rFonts w:ascii="Times New Roman" w:hAnsi="Times New Roman" w:cs="Times New Roman"/>
          <w:iCs/>
          <w:sz w:val="24"/>
          <w:szCs w:val="24"/>
          <w:lang w:val="en-GB"/>
        </w:rPr>
        <w:t>países</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pobreza</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globalização</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bônus</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demográfico</w:t>
      </w:r>
      <w:proofErr w:type="spellEnd"/>
      <w:r w:rsidRPr="006020CA">
        <w:rPr>
          <w:rFonts w:ascii="Times New Roman" w:hAnsi="Times New Roman" w:cs="Times New Roman"/>
          <w:iCs/>
          <w:sz w:val="24"/>
          <w:szCs w:val="24"/>
          <w:lang w:val="en-GB"/>
        </w:rPr>
        <w:t xml:space="preserve"> e </w:t>
      </w:r>
      <w:proofErr w:type="spellStart"/>
      <w:r w:rsidRPr="006020CA">
        <w:rPr>
          <w:rFonts w:ascii="Times New Roman" w:hAnsi="Times New Roman" w:cs="Times New Roman"/>
          <w:iCs/>
          <w:sz w:val="24"/>
          <w:szCs w:val="24"/>
          <w:lang w:val="en-GB"/>
        </w:rPr>
        <w:t>atenção</w:t>
      </w:r>
      <w:proofErr w:type="spellEnd"/>
      <w:r w:rsidRPr="006020CA">
        <w:rPr>
          <w:rFonts w:ascii="Times New Roman" w:hAnsi="Times New Roman" w:cs="Times New Roman"/>
          <w:iCs/>
          <w:sz w:val="24"/>
          <w:szCs w:val="24"/>
          <w:lang w:val="en-GB"/>
        </w:rPr>
        <w:t xml:space="preserve"> à </w:t>
      </w:r>
      <w:proofErr w:type="spellStart"/>
      <w:r w:rsidRPr="006020CA">
        <w:rPr>
          <w:rFonts w:ascii="Times New Roman" w:hAnsi="Times New Roman" w:cs="Times New Roman"/>
          <w:iCs/>
          <w:sz w:val="24"/>
          <w:szCs w:val="24"/>
          <w:lang w:val="en-GB"/>
        </w:rPr>
        <w:t>demanda</w:t>
      </w:r>
      <w:proofErr w:type="spellEnd"/>
      <w:r w:rsidRPr="006020CA">
        <w:rPr>
          <w:rFonts w:ascii="Times New Roman" w:hAnsi="Times New Roman" w:cs="Times New Roman"/>
          <w:iCs/>
          <w:sz w:val="24"/>
          <w:szCs w:val="24"/>
          <w:lang w:val="en-GB"/>
        </w:rPr>
        <w:t xml:space="preserve"> dos </w:t>
      </w:r>
      <w:proofErr w:type="spellStart"/>
      <w:r w:rsidRPr="006020CA">
        <w:rPr>
          <w:rFonts w:ascii="Times New Roman" w:hAnsi="Times New Roman" w:cs="Times New Roman"/>
          <w:iCs/>
          <w:sz w:val="24"/>
          <w:szCs w:val="24"/>
          <w:lang w:val="en-GB"/>
        </w:rPr>
        <w:t>seus</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sectores</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económicos</w:t>
      </w:r>
      <w:proofErr w:type="spellEnd"/>
      <w:r w:rsidRPr="006020CA">
        <w:rPr>
          <w:rFonts w:ascii="Times New Roman" w:hAnsi="Times New Roman" w:cs="Times New Roman"/>
          <w:iCs/>
          <w:sz w:val="24"/>
          <w:szCs w:val="24"/>
          <w:lang w:val="en-GB"/>
        </w:rPr>
        <w:t xml:space="preserve">. Sua </w:t>
      </w:r>
      <w:proofErr w:type="spellStart"/>
      <w:r w:rsidRPr="006020CA">
        <w:rPr>
          <w:rFonts w:ascii="Times New Roman" w:hAnsi="Times New Roman" w:cs="Times New Roman"/>
          <w:iCs/>
          <w:sz w:val="24"/>
          <w:szCs w:val="24"/>
          <w:lang w:val="en-GB"/>
        </w:rPr>
        <w:t>atenção</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mostra</w:t>
      </w:r>
      <w:proofErr w:type="spellEnd"/>
      <w:r w:rsidRPr="006020CA">
        <w:rPr>
          <w:rFonts w:ascii="Times New Roman" w:hAnsi="Times New Roman" w:cs="Times New Roman"/>
          <w:iCs/>
          <w:sz w:val="24"/>
          <w:szCs w:val="24"/>
          <w:lang w:val="en-GB"/>
        </w:rPr>
        <w:t xml:space="preserve"> o </w:t>
      </w:r>
      <w:proofErr w:type="spellStart"/>
      <w:r w:rsidRPr="006020CA">
        <w:rPr>
          <w:rFonts w:ascii="Times New Roman" w:hAnsi="Times New Roman" w:cs="Times New Roman"/>
          <w:iCs/>
          <w:sz w:val="24"/>
          <w:szCs w:val="24"/>
          <w:lang w:val="en-GB"/>
        </w:rPr>
        <w:t>compromisso</w:t>
      </w:r>
      <w:proofErr w:type="spellEnd"/>
      <w:r w:rsidRPr="006020CA">
        <w:rPr>
          <w:rFonts w:ascii="Times New Roman" w:hAnsi="Times New Roman" w:cs="Times New Roman"/>
          <w:iCs/>
          <w:sz w:val="24"/>
          <w:szCs w:val="24"/>
          <w:lang w:val="en-GB"/>
        </w:rPr>
        <w:t xml:space="preserve"> social </w:t>
      </w:r>
      <w:proofErr w:type="spellStart"/>
      <w:r w:rsidRPr="006020CA">
        <w:rPr>
          <w:rFonts w:ascii="Times New Roman" w:hAnsi="Times New Roman" w:cs="Times New Roman"/>
          <w:iCs/>
          <w:sz w:val="24"/>
          <w:szCs w:val="24"/>
          <w:lang w:val="en-GB"/>
        </w:rPr>
        <w:t>que</w:t>
      </w:r>
      <w:proofErr w:type="spellEnd"/>
      <w:r w:rsidRPr="006020CA">
        <w:rPr>
          <w:rFonts w:ascii="Times New Roman" w:hAnsi="Times New Roman" w:cs="Times New Roman"/>
          <w:iCs/>
          <w:sz w:val="24"/>
          <w:szCs w:val="24"/>
          <w:lang w:val="en-GB"/>
        </w:rPr>
        <w:t xml:space="preserve"> o </w:t>
      </w:r>
      <w:proofErr w:type="spellStart"/>
      <w:r w:rsidRPr="006020CA">
        <w:rPr>
          <w:rFonts w:ascii="Times New Roman" w:hAnsi="Times New Roman" w:cs="Times New Roman"/>
          <w:iCs/>
          <w:sz w:val="24"/>
          <w:szCs w:val="24"/>
          <w:lang w:val="en-GB"/>
        </w:rPr>
        <w:t>ensino</w:t>
      </w:r>
      <w:proofErr w:type="spellEnd"/>
      <w:r w:rsidRPr="006020CA">
        <w:rPr>
          <w:rFonts w:ascii="Times New Roman" w:hAnsi="Times New Roman" w:cs="Times New Roman"/>
          <w:iCs/>
          <w:sz w:val="24"/>
          <w:szCs w:val="24"/>
          <w:lang w:val="en-GB"/>
        </w:rPr>
        <w:t xml:space="preserve"> superior </w:t>
      </w:r>
      <w:proofErr w:type="spellStart"/>
      <w:r w:rsidRPr="006020CA">
        <w:rPr>
          <w:rFonts w:ascii="Times New Roman" w:hAnsi="Times New Roman" w:cs="Times New Roman"/>
          <w:iCs/>
          <w:sz w:val="24"/>
          <w:szCs w:val="24"/>
          <w:lang w:val="en-GB"/>
        </w:rPr>
        <w:t>tem</w:t>
      </w:r>
      <w:proofErr w:type="spellEnd"/>
      <w:r w:rsidRPr="006020CA">
        <w:rPr>
          <w:rFonts w:ascii="Times New Roman" w:hAnsi="Times New Roman" w:cs="Times New Roman"/>
          <w:iCs/>
          <w:sz w:val="24"/>
          <w:szCs w:val="24"/>
          <w:lang w:val="en-GB"/>
        </w:rPr>
        <w:t xml:space="preserve"> com o </w:t>
      </w:r>
      <w:proofErr w:type="spellStart"/>
      <w:r w:rsidRPr="006020CA">
        <w:rPr>
          <w:rFonts w:ascii="Times New Roman" w:hAnsi="Times New Roman" w:cs="Times New Roman"/>
          <w:iCs/>
          <w:sz w:val="24"/>
          <w:szCs w:val="24"/>
          <w:lang w:val="en-GB"/>
        </w:rPr>
        <w:t>país</w:t>
      </w:r>
      <w:proofErr w:type="spellEnd"/>
      <w:r w:rsidRPr="006020CA">
        <w:rPr>
          <w:rFonts w:ascii="Times New Roman" w:hAnsi="Times New Roman" w:cs="Times New Roman"/>
          <w:iCs/>
          <w:sz w:val="24"/>
          <w:szCs w:val="24"/>
          <w:lang w:val="en-GB"/>
        </w:rPr>
        <w:t>.</w:t>
      </w:r>
    </w:p>
    <w:p w14:paraId="419F2DCA" w14:textId="77777777" w:rsidR="006020CA" w:rsidRPr="006020CA" w:rsidRDefault="006020CA" w:rsidP="006020CA">
      <w:pPr>
        <w:tabs>
          <w:tab w:val="left" w:pos="5670"/>
        </w:tabs>
        <w:spacing w:before="40" w:after="40" w:line="360" w:lineRule="auto"/>
        <w:jc w:val="both"/>
        <w:rPr>
          <w:rFonts w:ascii="Times New Roman" w:hAnsi="Times New Roman" w:cs="Times New Roman"/>
          <w:iCs/>
          <w:sz w:val="24"/>
          <w:szCs w:val="24"/>
          <w:lang w:val="en-GB"/>
        </w:rPr>
      </w:pPr>
      <w:r w:rsidRPr="006020CA">
        <w:rPr>
          <w:rFonts w:ascii="Times New Roman" w:hAnsi="Times New Roman" w:cs="Times New Roman"/>
          <w:iCs/>
          <w:sz w:val="24"/>
          <w:szCs w:val="24"/>
          <w:lang w:val="en-GB"/>
        </w:rPr>
        <w:t xml:space="preserve">Assim, </w:t>
      </w:r>
      <w:proofErr w:type="spellStart"/>
      <w:r w:rsidRPr="006020CA">
        <w:rPr>
          <w:rFonts w:ascii="Times New Roman" w:hAnsi="Times New Roman" w:cs="Times New Roman"/>
          <w:iCs/>
          <w:sz w:val="24"/>
          <w:szCs w:val="24"/>
          <w:lang w:val="en-GB"/>
        </w:rPr>
        <w:t>através</w:t>
      </w:r>
      <w:proofErr w:type="spellEnd"/>
      <w:r w:rsidRPr="006020CA">
        <w:rPr>
          <w:rFonts w:ascii="Times New Roman" w:hAnsi="Times New Roman" w:cs="Times New Roman"/>
          <w:iCs/>
          <w:sz w:val="24"/>
          <w:szCs w:val="24"/>
          <w:lang w:val="en-GB"/>
        </w:rPr>
        <w:t xml:space="preserve"> de </w:t>
      </w:r>
      <w:proofErr w:type="spellStart"/>
      <w:r w:rsidRPr="006020CA">
        <w:rPr>
          <w:rFonts w:ascii="Times New Roman" w:hAnsi="Times New Roman" w:cs="Times New Roman"/>
          <w:iCs/>
          <w:sz w:val="24"/>
          <w:szCs w:val="24"/>
          <w:lang w:val="en-GB"/>
        </w:rPr>
        <w:t>uma</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pesquisa</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participativa</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ativa</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foi</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realizada</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uma</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revisão</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crítica</w:t>
      </w:r>
      <w:proofErr w:type="spellEnd"/>
      <w:r w:rsidRPr="006020CA">
        <w:rPr>
          <w:rFonts w:ascii="Times New Roman" w:hAnsi="Times New Roman" w:cs="Times New Roman"/>
          <w:iCs/>
          <w:sz w:val="24"/>
          <w:szCs w:val="24"/>
          <w:lang w:val="en-GB"/>
        </w:rPr>
        <w:t xml:space="preserve"> da </w:t>
      </w:r>
      <w:proofErr w:type="spellStart"/>
      <w:r w:rsidRPr="006020CA">
        <w:rPr>
          <w:rFonts w:ascii="Times New Roman" w:hAnsi="Times New Roman" w:cs="Times New Roman"/>
          <w:iCs/>
          <w:sz w:val="24"/>
          <w:szCs w:val="24"/>
          <w:lang w:val="en-GB"/>
        </w:rPr>
        <w:t>literatura</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identificando</w:t>
      </w:r>
      <w:proofErr w:type="spellEnd"/>
      <w:r w:rsidRPr="006020CA">
        <w:rPr>
          <w:rFonts w:ascii="Times New Roman" w:hAnsi="Times New Roman" w:cs="Times New Roman"/>
          <w:iCs/>
          <w:sz w:val="24"/>
          <w:szCs w:val="24"/>
          <w:lang w:val="en-GB"/>
        </w:rPr>
        <w:t xml:space="preserve"> as </w:t>
      </w:r>
      <w:proofErr w:type="spellStart"/>
      <w:r w:rsidRPr="006020CA">
        <w:rPr>
          <w:rFonts w:ascii="Times New Roman" w:hAnsi="Times New Roman" w:cs="Times New Roman"/>
          <w:iCs/>
          <w:sz w:val="24"/>
          <w:szCs w:val="24"/>
          <w:lang w:val="en-GB"/>
        </w:rPr>
        <w:t>contribuições</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sobre</w:t>
      </w:r>
      <w:proofErr w:type="spellEnd"/>
      <w:r w:rsidRPr="006020CA">
        <w:rPr>
          <w:rFonts w:ascii="Times New Roman" w:hAnsi="Times New Roman" w:cs="Times New Roman"/>
          <w:iCs/>
          <w:sz w:val="24"/>
          <w:szCs w:val="24"/>
          <w:lang w:val="en-GB"/>
        </w:rPr>
        <w:t xml:space="preserve"> o </w:t>
      </w:r>
      <w:proofErr w:type="spellStart"/>
      <w:r w:rsidRPr="006020CA">
        <w:rPr>
          <w:rFonts w:ascii="Times New Roman" w:hAnsi="Times New Roman" w:cs="Times New Roman"/>
          <w:iCs/>
          <w:sz w:val="24"/>
          <w:szCs w:val="24"/>
          <w:lang w:val="en-GB"/>
        </w:rPr>
        <w:t>que</w:t>
      </w:r>
      <w:proofErr w:type="spellEnd"/>
      <w:r w:rsidRPr="006020CA">
        <w:rPr>
          <w:rFonts w:ascii="Times New Roman" w:hAnsi="Times New Roman" w:cs="Times New Roman"/>
          <w:iCs/>
          <w:sz w:val="24"/>
          <w:szCs w:val="24"/>
          <w:lang w:val="en-GB"/>
        </w:rPr>
        <w:t xml:space="preserve"> o México </w:t>
      </w:r>
      <w:proofErr w:type="spellStart"/>
      <w:r w:rsidRPr="006020CA">
        <w:rPr>
          <w:rFonts w:ascii="Times New Roman" w:hAnsi="Times New Roman" w:cs="Times New Roman"/>
          <w:iCs/>
          <w:sz w:val="24"/>
          <w:szCs w:val="24"/>
          <w:lang w:val="en-GB"/>
        </w:rPr>
        <w:t>exige</w:t>
      </w:r>
      <w:proofErr w:type="spellEnd"/>
      <w:r w:rsidRPr="006020CA">
        <w:rPr>
          <w:rFonts w:ascii="Times New Roman" w:hAnsi="Times New Roman" w:cs="Times New Roman"/>
          <w:iCs/>
          <w:sz w:val="24"/>
          <w:szCs w:val="24"/>
          <w:lang w:val="en-GB"/>
        </w:rPr>
        <w:t xml:space="preserve"> de </w:t>
      </w:r>
      <w:proofErr w:type="spellStart"/>
      <w:r w:rsidRPr="006020CA">
        <w:rPr>
          <w:rFonts w:ascii="Times New Roman" w:hAnsi="Times New Roman" w:cs="Times New Roman"/>
          <w:iCs/>
          <w:sz w:val="24"/>
          <w:szCs w:val="24"/>
          <w:lang w:val="en-GB"/>
        </w:rPr>
        <w:t>seus</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profissionais</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modelos</w:t>
      </w:r>
      <w:proofErr w:type="spellEnd"/>
      <w:r w:rsidRPr="006020CA">
        <w:rPr>
          <w:rFonts w:ascii="Times New Roman" w:hAnsi="Times New Roman" w:cs="Times New Roman"/>
          <w:iCs/>
          <w:sz w:val="24"/>
          <w:szCs w:val="24"/>
          <w:lang w:val="en-GB"/>
        </w:rPr>
        <w:t xml:space="preserve"> e </w:t>
      </w:r>
      <w:proofErr w:type="spellStart"/>
      <w:r w:rsidRPr="006020CA">
        <w:rPr>
          <w:rFonts w:ascii="Times New Roman" w:hAnsi="Times New Roman" w:cs="Times New Roman"/>
          <w:iCs/>
          <w:sz w:val="24"/>
          <w:szCs w:val="24"/>
          <w:lang w:val="en-GB"/>
        </w:rPr>
        <w:t>programas</w:t>
      </w:r>
      <w:proofErr w:type="spellEnd"/>
      <w:r w:rsidRPr="006020CA">
        <w:rPr>
          <w:rFonts w:ascii="Times New Roman" w:hAnsi="Times New Roman" w:cs="Times New Roman"/>
          <w:iCs/>
          <w:sz w:val="24"/>
          <w:szCs w:val="24"/>
          <w:lang w:val="en-GB"/>
        </w:rPr>
        <w:t xml:space="preserve"> de </w:t>
      </w:r>
      <w:proofErr w:type="spellStart"/>
      <w:r w:rsidRPr="006020CA">
        <w:rPr>
          <w:rFonts w:ascii="Times New Roman" w:hAnsi="Times New Roman" w:cs="Times New Roman"/>
          <w:iCs/>
          <w:sz w:val="24"/>
          <w:szCs w:val="24"/>
          <w:lang w:val="en-GB"/>
        </w:rPr>
        <w:t>ensino</w:t>
      </w:r>
      <w:proofErr w:type="spellEnd"/>
      <w:r w:rsidRPr="006020CA">
        <w:rPr>
          <w:rFonts w:ascii="Times New Roman" w:hAnsi="Times New Roman" w:cs="Times New Roman"/>
          <w:iCs/>
          <w:sz w:val="24"/>
          <w:szCs w:val="24"/>
          <w:lang w:val="en-GB"/>
        </w:rPr>
        <w:t xml:space="preserve"> superior </w:t>
      </w:r>
      <w:proofErr w:type="spellStart"/>
      <w:r w:rsidRPr="006020CA">
        <w:rPr>
          <w:rFonts w:ascii="Times New Roman" w:hAnsi="Times New Roman" w:cs="Times New Roman"/>
          <w:iCs/>
          <w:sz w:val="24"/>
          <w:szCs w:val="24"/>
          <w:lang w:val="en-GB"/>
        </w:rPr>
        <w:t>nacionais</w:t>
      </w:r>
      <w:proofErr w:type="spellEnd"/>
      <w:r w:rsidRPr="006020CA">
        <w:rPr>
          <w:rFonts w:ascii="Times New Roman" w:hAnsi="Times New Roman" w:cs="Times New Roman"/>
          <w:iCs/>
          <w:sz w:val="24"/>
          <w:szCs w:val="24"/>
          <w:lang w:val="en-GB"/>
        </w:rPr>
        <w:t xml:space="preserve"> e </w:t>
      </w:r>
      <w:proofErr w:type="spellStart"/>
      <w:r w:rsidRPr="006020CA">
        <w:rPr>
          <w:rFonts w:ascii="Times New Roman" w:hAnsi="Times New Roman" w:cs="Times New Roman"/>
          <w:iCs/>
          <w:sz w:val="24"/>
          <w:szCs w:val="24"/>
          <w:lang w:val="en-GB"/>
        </w:rPr>
        <w:t>estrangeiros</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relativos</w:t>
      </w:r>
      <w:proofErr w:type="spellEnd"/>
      <w:r w:rsidRPr="006020CA">
        <w:rPr>
          <w:rFonts w:ascii="Times New Roman" w:hAnsi="Times New Roman" w:cs="Times New Roman"/>
          <w:iCs/>
          <w:sz w:val="24"/>
          <w:szCs w:val="24"/>
          <w:lang w:val="en-GB"/>
        </w:rPr>
        <w:t xml:space="preserve"> à </w:t>
      </w:r>
      <w:proofErr w:type="spellStart"/>
      <w:r w:rsidRPr="006020CA">
        <w:rPr>
          <w:rFonts w:ascii="Times New Roman" w:hAnsi="Times New Roman" w:cs="Times New Roman"/>
          <w:iCs/>
          <w:sz w:val="24"/>
          <w:szCs w:val="24"/>
          <w:lang w:val="en-GB"/>
        </w:rPr>
        <w:t>internacionalização</w:t>
      </w:r>
      <w:proofErr w:type="spellEnd"/>
      <w:r w:rsidRPr="006020CA">
        <w:rPr>
          <w:rFonts w:ascii="Times New Roman" w:hAnsi="Times New Roman" w:cs="Times New Roman"/>
          <w:iCs/>
          <w:sz w:val="24"/>
          <w:szCs w:val="24"/>
          <w:lang w:val="en-GB"/>
        </w:rPr>
        <w:t xml:space="preserve"> do </w:t>
      </w:r>
      <w:proofErr w:type="spellStart"/>
      <w:r w:rsidRPr="006020CA">
        <w:rPr>
          <w:rFonts w:ascii="Times New Roman" w:hAnsi="Times New Roman" w:cs="Times New Roman"/>
          <w:iCs/>
          <w:sz w:val="24"/>
          <w:szCs w:val="24"/>
          <w:lang w:val="en-GB"/>
        </w:rPr>
        <w:t>ensino</w:t>
      </w:r>
      <w:proofErr w:type="spellEnd"/>
      <w:r w:rsidRPr="006020CA">
        <w:rPr>
          <w:rFonts w:ascii="Times New Roman" w:hAnsi="Times New Roman" w:cs="Times New Roman"/>
          <w:iCs/>
          <w:sz w:val="24"/>
          <w:szCs w:val="24"/>
          <w:lang w:val="en-GB"/>
        </w:rPr>
        <w:t xml:space="preserve"> superior e </w:t>
      </w:r>
      <w:proofErr w:type="spellStart"/>
      <w:r w:rsidRPr="006020CA">
        <w:rPr>
          <w:rFonts w:ascii="Times New Roman" w:hAnsi="Times New Roman" w:cs="Times New Roman"/>
          <w:iCs/>
          <w:sz w:val="24"/>
          <w:szCs w:val="24"/>
          <w:lang w:val="en-GB"/>
        </w:rPr>
        <w:t>ao</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paradigma</w:t>
      </w:r>
      <w:proofErr w:type="spellEnd"/>
      <w:r w:rsidRPr="006020CA">
        <w:rPr>
          <w:rFonts w:ascii="Times New Roman" w:hAnsi="Times New Roman" w:cs="Times New Roman"/>
          <w:iCs/>
          <w:sz w:val="24"/>
          <w:szCs w:val="24"/>
          <w:lang w:val="en-GB"/>
        </w:rPr>
        <w:t xml:space="preserve"> da </w:t>
      </w:r>
      <w:proofErr w:type="spellStart"/>
      <w:r w:rsidRPr="006020CA">
        <w:rPr>
          <w:rFonts w:ascii="Times New Roman" w:hAnsi="Times New Roman" w:cs="Times New Roman"/>
          <w:iCs/>
          <w:sz w:val="24"/>
          <w:szCs w:val="24"/>
          <w:lang w:val="en-GB"/>
        </w:rPr>
        <w:t>educação</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comparada</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bem</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como</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os</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riscos</w:t>
      </w:r>
      <w:proofErr w:type="spellEnd"/>
      <w:r w:rsidRPr="006020CA">
        <w:rPr>
          <w:rFonts w:ascii="Times New Roman" w:hAnsi="Times New Roman" w:cs="Times New Roman"/>
          <w:iCs/>
          <w:sz w:val="24"/>
          <w:szCs w:val="24"/>
          <w:lang w:val="en-GB"/>
        </w:rPr>
        <w:t xml:space="preserve"> e </w:t>
      </w:r>
      <w:proofErr w:type="spellStart"/>
      <w:r w:rsidRPr="006020CA">
        <w:rPr>
          <w:rFonts w:ascii="Times New Roman" w:hAnsi="Times New Roman" w:cs="Times New Roman"/>
          <w:iCs/>
          <w:sz w:val="24"/>
          <w:szCs w:val="24"/>
          <w:lang w:val="en-GB"/>
        </w:rPr>
        <w:t>desafios</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financeiros</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tecnológicos</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sociais</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ambientais</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políticos</w:t>
      </w:r>
      <w:proofErr w:type="spellEnd"/>
      <w:r w:rsidRPr="006020CA">
        <w:rPr>
          <w:rFonts w:ascii="Times New Roman" w:hAnsi="Times New Roman" w:cs="Times New Roman"/>
          <w:iCs/>
          <w:sz w:val="24"/>
          <w:szCs w:val="24"/>
          <w:lang w:val="en-GB"/>
        </w:rPr>
        <w:t xml:space="preserve"> e </w:t>
      </w:r>
      <w:proofErr w:type="spellStart"/>
      <w:r w:rsidRPr="006020CA">
        <w:rPr>
          <w:rFonts w:ascii="Times New Roman" w:hAnsi="Times New Roman" w:cs="Times New Roman"/>
          <w:iCs/>
          <w:sz w:val="24"/>
          <w:szCs w:val="24"/>
          <w:lang w:val="en-GB"/>
        </w:rPr>
        <w:t>culturais</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que</w:t>
      </w:r>
      <w:proofErr w:type="spellEnd"/>
      <w:r w:rsidRPr="006020CA">
        <w:rPr>
          <w:rFonts w:ascii="Times New Roman" w:hAnsi="Times New Roman" w:cs="Times New Roman"/>
          <w:iCs/>
          <w:sz w:val="24"/>
          <w:szCs w:val="24"/>
          <w:lang w:val="en-GB"/>
        </w:rPr>
        <w:t xml:space="preserve"> o </w:t>
      </w:r>
      <w:proofErr w:type="spellStart"/>
      <w:r w:rsidRPr="006020CA">
        <w:rPr>
          <w:rFonts w:ascii="Times New Roman" w:hAnsi="Times New Roman" w:cs="Times New Roman"/>
          <w:iCs/>
          <w:sz w:val="24"/>
          <w:szCs w:val="24"/>
          <w:lang w:val="en-GB"/>
        </w:rPr>
        <w:t>ensino</w:t>
      </w:r>
      <w:proofErr w:type="spellEnd"/>
      <w:r w:rsidRPr="006020CA">
        <w:rPr>
          <w:rFonts w:ascii="Times New Roman" w:hAnsi="Times New Roman" w:cs="Times New Roman"/>
          <w:iCs/>
          <w:sz w:val="24"/>
          <w:szCs w:val="24"/>
          <w:lang w:val="en-GB"/>
        </w:rPr>
        <w:t xml:space="preserve"> superior no México </w:t>
      </w:r>
      <w:proofErr w:type="spellStart"/>
      <w:r w:rsidRPr="006020CA">
        <w:rPr>
          <w:rFonts w:ascii="Times New Roman" w:hAnsi="Times New Roman" w:cs="Times New Roman"/>
          <w:iCs/>
          <w:sz w:val="24"/>
          <w:szCs w:val="24"/>
          <w:lang w:val="en-GB"/>
        </w:rPr>
        <w:t>enfrenta</w:t>
      </w:r>
      <w:proofErr w:type="spellEnd"/>
      <w:r w:rsidRPr="006020CA">
        <w:rPr>
          <w:rFonts w:ascii="Times New Roman" w:hAnsi="Times New Roman" w:cs="Times New Roman"/>
          <w:iCs/>
          <w:sz w:val="24"/>
          <w:szCs w:val="24"/>
          <w:lang w:val="en-GB"/>
        </w:rPr>
        <w:t xml:space="preserve">. Por </w:t>
      </w:r>
      <w:proofErr w:type="spellStart"/>
      <w:r w:rsidRPr="006020CA">
        <w:rPr>
          <w:rFonts w:ascii="Times New Roman" w:hAnsi="Times New Roman" w:cs="Times New Roman"/>
          <w:iCs/>
          <w:sz w:val="24"/>
          <w:szCs w:val="24"/>
          <w:lang w:val="en-GB"/>
        </w:rPr>
        <w:t>último</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são</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identificados</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aspectos</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fundamentais</w:t>
      </w:r>
      <w:proofErr w:type="spellEnd"/>
      <w:r w:rsidRPr="006020CA">
        <w:rPr>
          <w:rFonts w:ascii="Times New Roman" w:hAnsi="Times New Roman" w:cs="Times New Roman"/>
          <w:iCs/>
          <w:sz w:val="24"/>
          <w:szCs w:val="24"/>
          <w:lang w:val="en-GB"/>
        </w:rPr>
        <w:t xml:space="preserve"> e </w:t>
      </w:r>
      <w:proofErr w:type="spellStart"/>
      <w:r w:rsidRPr="006020CA">
        <w:rPr>
          <w:rFonts w:ascii="Times New Roman" w:hAnsi="Times New Roman" w:cs="Times New Roman"/>
          <w:iCs/>
          <w:sz w:val="24"/>
          <w:szCs w:val="24"/>
          <w:lang w:val="en-GB"/>
        </w:rPr>
        <w:t>áreas</w:t>
      </w:r>
      <w:proofErr w:type="spellEnd"/>
      <w:r w:rsidRPr="006020CA">
        <w:rPr>
          <w:rFonts w:ascii="Times New Roman" w:hAnsi="Times New Roman" w:cs="Times New Roman"/>
          <w:iCs/>
          <w:sz w:val="24"/>
          <w:szCs w:val="24"/>
          <w:lang w:val="en-GB"/>
        </w:rPr>
        <w:t xml:space="preserve"> de </w:t>
      </w:r>
      <w:proofErr w:type="spellStart"/>
      <w:r w:rsidRPr="006020CA">
        <w:rPr>
          <w:rFonts w:ascii="Times New Roman" w:hAnsi="Times New Roman" w:cs="Times New Roman"/>
          <w:iCs/>
          <w:sz w:val="24"/>
          <w:szCs w:val="24"/>
          <w:lang w:val="en-GB"/>
        </w:rPr>
        <w:t>oportunidade</w:t>
      </w:r>
      <w:proofErr w:type="spellEnd"/>
      <w:r w:rsidRPr="006020CA">
        <w:rPr>
          <w:rFonts w:ascii="Times New Roman" w:hAnsi="Times New Roman" w:cs="Times New Roman"/>
          <w:iCs/>
          <w:sz w:val="24"/>
          <w:szCs w:val="24"/>
          <w:lang w:val="en-GB"/>
        </w:rPr>
        <w:t xml:space="preserve"> para </w:t>
      </w:r>
      <w:proofErr w:type="spellStart"/>
      <w:r w:rsidRPr="006020CA">
        <w:rPr>
          <w:rFonts w:ascii="Times New Roman" w:hAnsi="Times New Roman" w:cs="Times New Roman"/>
          <w:iCs/>
          <w:sz w:val="24"/>
          <w:szCs w:val="24"/>
          <w:lang w:val="en-GB"/>
        </w:rPr>
        <w:t>que</w:t>
      </w:r>
      <w:proofErr w:type="spellEnd"/>
      <w:r w:rsidRPr="006020CA">
        <w:rPr>
          <w:rFonts w:ascii="Times New Roman" w:hAnsi="Times New Roman" w:cs="Times New Roman"/>
          <w:iCs/>
          <w:sz w:val="24"/>
          <w:szCs w:val="24"/>
          <w:lang w:val="en-GB"/>
        </w:rPr>
        <w:t xml:space="preserve"> o </w:t>
      </w:r>
      <w:proofErr w:type="spellStart"/>
      <w:r w:rsidRPr="006020CA">
        <w:rPr>
          <w:rFonts w:ascii="Times New Roman" w:hAnsi="Times New Roman" w:cs="Times New Roman"/>
          <w:iCs/>
          <w:sz w:val="24"/>
          <w:szCs w:val="24"/>
          <w:lang w:val="en-GB"/>
        </w:rPr>
        <w:t>ensino</w:t>
      </w:r>
      <w:proofErr w:type="spellEnd"/>
      <w:r w:rsidRPr="006020CA">
        <w:rPr>
          <w:rFonts w:ascii="Times New Roman" w:hAnsi="Times New Roman" w:cs="Times New Roman"/>
          <w:iCs/>
          <w:sz w:val="24"/>
          <w:szCs w:val="24"/>
          <w:lang w:val="en-GB"/>
        </w:rPr>
        <w:t xml:space="preserve"> superior se </w:t>
      </w:r>
      <w:proofErr w:type="spellStart"/>
      <w:r w:rsidRPr="006020CA">
        <w:rPr>
          <w:rFonts w:ascii="Times New Roman" w:hAnsi="Times New Roman" w:cs="Times New Roman"/>
          <w:iCs/>
          <w:sz w:val="24"/>
          <w:szCs w:val="24"/>
          <w:lang w:val="en-GB"/>
        </w:rPr>
        <w:t>traduza</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numa</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resposta</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mais</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eficaz</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ao</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seu</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compromisso</w:t>
      </w:r>
      <w:proofErr w:type="spellEnd"/>
      <w:r w:rsidRPr="006020CA">
        <w:rPr>
          <w:rFonts w:ascii="Times New Roman" w:hAnsi="Times New Roman" w:cs="Times New Roman"/>
          <w:iCs/>
          <w:sz w:val="24"/>
          <w:szCs w:val="24"/>
          <w:lang w:val="en-GB"/>
        </w:rPr>
        <w:t xml:space="preserve"> social.</w:t>
      </w:r>
    </w:p>
    <w:p w14:paraId="70CDC2BB" w14:textId="12AC7DFF" w:rsidR="006020CA" w:rsidRPr="00CE0131" w:rsidRDefault="006020CA" w:rsidP="006020CA">
      <w:pPr>
        <w:tabs>
          <w:tab w:val="left" w:pos="5670"/>
        </w:tabs>
        <w:spacing w:before="40" w:after="40" w:line="360" w:lineRule="auto"/>
        <w:jc w:val="both"/>
        <w:rPr>
          <w:rFonts w:ascii="Times New Roman" w:hAnsi="Times New Roman" w:cs="Times New Roman"/>
          <w:iCs/>
          <w:sz w:val="24"/>
          <w:szCs w:val="24"/>
          <w:lang w:val="en-GB"/>
        </w:rPr>
      </w:pPr>
      <w:proofErr w:type="spellStart"/>
      <w:r w:rsidRPr="006020CA">
        <w:rPr>
          <w:rFonts w:cstheme="minorHAnsi"/>
          <w:b/>
          <w:bCs/>
          <w:iCs/>
          <w:sz w:val="28"/>
          <w:szCs w:val="28"/>
          <w:lang w:val="en-GB"/>
        </w:rPr>
        <w:t>Palavras-chave</w:t>
      </w:r>
      <w:proofErr w:type="spellEnd"/>
      <w:r w:rsidRPr="006020CA">
        <w:rPr>
          <w:rFonts w:cstheme="minorHAnsi"/>
          <w:b/>
          <w:bCs/>
          <w:iCs/>
          <w:sz w:val="28"/>
          <w:szCs w:val="28"/>
          <w:lang w:val="en-GB"/>
        </w:rPr>
        <w:t>:</w:t>
      </w:r>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bônus</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demográfico</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educação</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comparada</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ensino</w:t>
      </w:r>
      <w:proofErr w:type="spellEnd"/>
      <w:r w:rsidRPr="006020CA">
        <w:rPr>
          <w:rFonts w:ascii="Times New Roman" w:hAnsi="Times New Roman" w:cs="Times New Roman"/>
          <w:iCs/>
          <w:sz w:val="24"/>
          <w:szCs w:val="24"/>
          <w:lang w:val="en-GB"/>
        </w:rPr>
        <w:t xml:space="preserve"> superior, </w:t>
      </w:r>
      <w:proofErr w:type="spellStart"/>
      <w:r w:rsidRPr="006020CA">
        <w:rPr>
          <w:rFonts w:ascii="Times New Roman" w:hAnsi="Times New Roman" w:cs="Times New Roman"/>
          <w:iCs/>
          <w:sz w:val="24"/>
          <w:szCs w:val="24"/>
          <w:lang w:val="en-GB"/>
        </w:rPr>
        <w:t>compromisso</w:t>
      </w:r>
      <w:proofErr w:type="spellEnd"/>
      <w:r w:rsidRPr="006020CA">
        <w:rPr>
          <w:rFonts w:ascii="Times New Roman" w:hAnsi="Times New Roman" w:cs="Times New Roman"/>
          <w:iCs/>
          <w:sz w:val="24"/>
          <w:szCs w:val="24"/>
          <w:lang w:val="en-GB"/>
        </w:rPr>
        <w:t xml:space="preserve"> social, </w:t>
      </w:r>
      <w:proofErr w:type="spellStart"/>
      <w:r w:rsidRPr="006020CA">
        <w:rPr>
          <w:rFonts w:ascii="Times New Roman" w:hAnsi="Times New Roman" w:cs="Times New Roman"/>
          <w:iCs/>
          <w:sz w:val="24"/>
          <w:szCs w:val="24"/>
          <w:lang w:val="en-GB"/>
        </w:rPr>
        <w:t>pesquisa</w:t>
      </w:r>
      <w:proofErr w:type="spellEnd"/>
      <w:r w:rsidRPr="006020CA">
        <w:rPr>
          <w:rFonts w:ascii="Times New Roman" w:hAnsi="Times New Roman" w:cs="Times New Roman"/>
          <w:iCs/>
          <w:sz w:val="24"/>
          <w:szCs w:val="24"/>
          <w:lang w:val="en-GB"/>
        </w:rPr>
        <w:t xml:space="preserve"> </w:t>
      </w:r>
      <w:proofErr w:type="spellStart"/>
      <w:r w:rsidRPr="006020CA">
        <w:rPr>
          <w:rFonts w:ascii="Times New Roman" w:hAnsi="Times New Roman" w:cs="Times New Roman"/>
          <w:iCs/>
          <w:sz w:val="24"/>
          <w:szCs w:val="24"/>
          <w:lang w:val="en-GB"/>
        </w:rPr>
        <w:t>participativa</w:t>
      </w:r>
      <w:proofErr w:type="spellEnd"/>
      <w:r w:rsidRPr="006020CA">
        <w:rPr>
          <w:rFonts w:ascii="Times New Roman" w:hAnsi="Times New Roman" w:cs="Times New Roman"/>
          <w:iCs/>
          <w:sz w:val="24"/>
          <w:szCs w:val="24"/>
          <w:lang w:val="en-GB"/>
        </w:rPr>
        <w:t>, near shore, PAR.</w:t>
      </w:r>
    </w:p>
    <w:p w14:paraId="2B9C2D70" w14:textId="77777777" w:rsidR="00E77F98" w:rsidRPr="00884823" w:rsidRDefault="00E77F98" w:rsidP="00E77F98">
      <w:pPr>
        <w:pStyle w:val="HTMLconformatoprevio"/>
        <w:shd w:val="clear" w:color="auto" w:fill="FFFFFF"/>
        <w:jc w:val="both"/>
        <w:rPr>
          <w:rFonts w:ascii="Times New Roman" w:hAnsi="Times New Roman" w:cs="Times New Roman"/>
          <w:color w:val="000000"/>
          <w:sz w:val="24"/>
          <w:szCs w:val="24"/>
        </w:rPr>
      </w:pPr>
      <w:r w:rsidRPr="00884823">
        <w:rPr>
          <w:rFonts w:ascii="Times New Roman" w:hAnsi="Times New Roman" w:cs="Times New Roman"/>
          <w:b/>
          <w:color w:val="000000"/>
          <w:sz w:val="24"/>
          <w:szCs w:val="24"/>
        </w:rPr>
        <w:t>Fecha Recepción:</w:t>
      </w:r>
      <w:r w:rsidRPr="00884823">
        <w:rPr>
          <w:rFonts w:ascii="Times New Roman" w:hAnsi="Times New Roman" w:cs="Times New Roman"/>
          <w:color w:val="000000"/>
          <w:sz w:val="24"/>
          <w:szCs w:val="24"/>
        </w:rPr>
        <w:t xml:space="preserve"> </w:t>
      </w:r>
      <w:proofErr w:type="gramStart"/>
      <w:r w:rsidRPr="00884823">
        <w:rPr>
          <w:rFonts w:ascii="Times New Roman" w:hAnsi="Times New Roman" w:cs="Times New Roman"/>
          <w:color w:val="000000"/>
          <w:sz w:val="24"/>
          <w:szCs w:val="24"/>
        </w:rPr>
        <w:t>Enero</w:t>
      </w:r>
      <w:proofErr w:type="gramEnd"/>
      <w:r w:rsidRPr="00884823">
        <w:rPr>
          <w:rFonts w:ascii="Times New Roman" w:hAnsi="Times New Roman" w:cs="Times New Roman"/>
          <w:color w:val="000000"/>
          <w:sz w:val="24"/>
          <w:szCs w:val="24"/>
        </w:rPr>
        <w:t xml:space="preserve"> 2024                                              </w:t>
      </w:r>
      <w:r w:rsidRPr="00884823">
        <w:rPr>
          <w:rFonts w:ascii="Times New Roman" w:hAnsi="Times New Roman" w:cs="Times New Roman"/>
          <w:b/>
          <w:color w:val="000000"/>
          <w:sz w:val="24"/>
          <w:szCs w:val="24"/>
        </w:rPr>
        <w:t>Fecha Aceptación:</w:t>
      </w:r>
      <w:r w:rsidRPr="00884823">
        <w:rPr>
          <w:rFonts w:ascii="Times New Roman" w:hAnsi="Times New Roman" w:cs="Times New Roman"/>
          <w:color w:val="000000"/>
          <w:sz w:val="24"/>
          <w:szCs w:val="24"/>
        </w:rPr>
        <w:t xml:space="preserve"> Julio 2024</w:t>
      </w:r>
    </w:p>
    <w:p w14:paraId="2187E2CD" w14:textId="77777777" w:rsidR="00E77F98" w:rsidRPr="00884823" w:rsidRDefault="00000000" w:rsidP="00E77F98">
      <w:pPr>
        <w:shd w:val="clear" w:color="auto" w:fill="FFFFFF" w:themeFill="background1"/>
        <w:spacing w:after="0" w:line="360" w:lineRule="auto"/>
        <w:jc w:val="both"/>
        <w:rPr>
          <w:rFonts w:ascii="Times New Roman" w:hAnsi="Times New Roman" w:cs="Times New Roman"/>
          <w:sz w:val="24"/>
          <w:szCs w:val="24"/>
        </w:rPr>
      </w:pPr>
      <w:r>
        <w:rPr>
          <w:noProof/>
        </w:rPr>
        <w:pict w14:anchorId="4D9A181F">
          <v:rect id="_x0000_i1025" alt="" style="width:441.9pt;height:.05pt;mso-width-percent:0;mso-height-percent:0;mso-width-percent:0;mso-height-percent:0" o:hralign="center" o:hrstd="t" o:hr="t" fillcolor="#a0a0a0" stroked="f"/>
        </w:pict>
      </w:r>
    </w:p>
    <w:p w14:paraId="08397B0F" w14:textId="79A5DC84" w:rsidR="00420AC9" w:rsidRPr="003E7A82" w:rsidRDefault="00420AC9" w:rsidP="00E77F98">
      <w:pPr>
        <w:tabs>
          <w:tab w:val="left" w:pos="284"/>
        </w:tabs>
        <w:spacing w:before="40" w:after="40" w:line="360" w:lineRule="auto"/>
        <w:jc w:val="center"/>
        <w:rPr>
          <w:rFonts w:ascii="Times New Roman" w:hAnsi="Times New Roman" w:cs="Times New Roman"/>
          <w:b/>
          <w:bCs/>
          <w:sz w:val="32"/>
          <w:szCs w:val="32"/>
        </w:rPr>
      </w:pPr>
      <w:r w:rsidRPr="003E7A82">
        <w:rPr>
          <w:rFonts w:ascii="Times New Roman" w:hAnsi="Times New Roman" w:cs="Times New Roman"/>
          <w:b/>
          <w:bCs/>
          <w:sz w:val="32"/>
          <w:szCs w:val="32"/>
        </w:rPr>
        <w:t>Introducción</w:t>
      </w:r>
    </w:p>
    <w:p w14:paraId="5611C140" w14:textId="4386FD3E" w:rsidR="00E55F02" w:rsidRPr="003E7A82" w:rsidRDefault="002E09F2"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En consistencia con </w:t>
      </w:r>
      <w:r w:rsidR="001E35CA" w:rsidRPr="003E7A82">
        <w:rPr>
          <w:rFonts w:ascii="Times New Roman" w:hAnsi="Times New Roman" w:cs="Times New Roman"/>
          <w:iCs/>
          <w:sz w:val="24"/>
          <w:szCs w:val="24"/>
        </w:rPr>
        <w:t>e</w:t>
      </w:r>
      <w:r w:rsidRPr="003E7A82">
        <w:rPr>
          <w:rFonts w:ascii="Times New Roman" w:hAnsi="Times New Roman" w:cs="Times New Roman"/>
          <w:iCs/>
          <w:sz w:val="24"/>
          <w:szCs w:val="24"/>
        </w:rPr>
        <w:t xml:space="preserve">l documento publicado por la </w:t>
      </w:r>
      <w:r w:rsidR="000C5764" w:rsidRPr="003E7A82">
        <w:rPr>
          <w:rFonts w:ascii="Times New Roman" w:hAnsi="Times New Roman" w:cs="Times New Roman"/>
          <w:iCs/>
          <w:sz w:val="24"/>
          <w:szCs w:val="24"/>
        </w:rPr>
        <w:t>Organización para la Cooperación y el Desarrollo Económico (</w:t>
      </w:r>
      <w:r w:rsidRPr="003E7A82">
        <w:rPr>
          <w:rFonts w:ascii="Times New Roman" w:hAnsi="Times New Roman" w:cs="Times New Roman"/>
          <w:iCs/>
          <w:sz w:val="24"/>
          <w:szCs w:val="24"/>
        </w:rPr>
        <w:t>OECD</w:t>
      </w:r>
      <w:r w:rsidR="000C5764" w:rsidRPr="003E7A82">
        <w:rPr>
          <w:rFonts w:ascii="Times New Roman" w:hAnsi="Times New Roman" w:cs="Times New Roman"/>
          <w:iCs/>
          <w:sz w:val="24"/>
          <w:szCs w:val="24"/>
        </w:rPr>
        <w:t>)</w:t>
      </w:r>
      <w:r w:rsidRPr="003E7A82">
        <w:rPr>
          <w:rFonts w:ascii="Times New Roman" w:hAnsi="Times New Roman" w:cs="Times New Roman"/>
          <w:iCs/>
          <w:sz w:val="24"/>
          <w:szCs w:val="24"/>
        </w:rPr>
        <w:t>:</w:t>
      </w:r>
      <w:r w:rsidR="0010755C" w:rsidRPr="003E7A82">
        <w:rPr>
          <w:rFonts w:ascii="Times New Roman" w:hAnsi="Times New Roman" w:cs="Times New Roman"/>
          <w:iCs/>
          <w:sz w:val="24"/>
          <w:szCs w:val="24"/>
        </w:rPr>
        <w:t xml:space="preserve"> Educación superior en México</w:t>
      </w:r>
      <w:r w:rsidR="006A68E7" w:rsidRPr="003E7A82">
        <w:rPr>
          <w:rFonts w:ascii="Times New Roman" w:hAnsi="Times New Roman" w:cs="Times New Roman"/>
          <w:iCs/>
          <w:sz w:val="24"/>
          <w:szCs w:val="24"/>
        </w:rPr>
        <w:t>,</w:t>
      </w:r>
      <w:r w:rsidR="0010755C" w:rsidRPr="003E7A82">
        <w:rPr>
          <w:rFonts w:ascii="Times New Roman" w:hAnsi="Times New Roman" w:cs="Times New Roman"/>
          <w:iCs/>
          <w:sz w:val="24"/>
          <w:szCs w:val="24"/>
        </w:rPr>
        <w:t xml:space="preserve"> </w:t>
      </w:r>
      <w:r w:rsidR="006A68E7" w:rsidRPr="003E7A82">
        <w:rPr>
          <w:rFonts w:ascii="Times New Roman" w:hAnsi="Times New Roman" w:cs="Times New Roman"/>
          <w:iCs/>
          <w:sz w:val="24"/>
          <w:szCs w:val="24"/>
        </w:rPr>
        <w:t>resultados y relevancia para el mercado laboral (</w:t>
      </w:r>
      <w:r w:rsidR="00883530" w:rsidRPr="003E7A82">
        <w:rPr>
          <w:rFonts w:ascii="Times New Roman" w:hAnsi="Times New Roman" w:cs="Times New Roman"/>
          <w:iCs/>
          <w:sz w:val="24"/>
          <w:szCs w:val="24"/>
        </w:rPr>
        <w:t>Galán-Muros</w:t>
      </w:r>
      <w:r w:rsidR="0014660A">
        <w:rPr>
          <w:rFonts w:ascii="Times New Roman" w:hAnsi="Times New Roman" w:cs="Times New Roman"/>
          <w:iCs/>
          <w:sz w:val="24"/>
          <w:szCs w:val="24"/>
        </w:rPr>
        <w:t xml:space="preserve"> </w:t>
      </w:r>
      <w:r w:rsidR="00103BF2" w:rsidRPr="0014660A">
        <w:rPr>
          <w:rFonts w:ascii="Times New Roman" w:hAnsi="Times New Roman" w:cs="Times New Roman"/>
          <w:iCs/>
          <w:sz w:val="24"/>
          <w:szCs w:val="24"/>
        </w:rPr>
        <w:t>y Hofer,</w:t>
      </w:r>
      <w:r w:rsidR="00103BF2" w:rsidRPr="003E7A82">
        <w:rPr>
          <w:rFonts w:ascii="Times New Roman" w:hAnsi="Times New Roman" w:cs="Times New Roman"/>
          <w:iCs/>
          <w:sz w:val="24"/>
          <w:szCs w:val="24"/>
        </w:rPr>
        <w:t xml:space="preserve"> </w:t>
      </w:r>
      <w:r w:rsidR="006A68E7" w:rsidRPr="003E7A82">
        <w:rPr>
          <w:rFonts w:ascii="Times New Roman" w:hAnsi="Times New Roman" w:cs="Times New Roman"/>
          <w:iCs/>
          <w:sz w:val="24"/>
          <w:szCs w:val="24"/>
        </w:rPr>
        <w:t>2019)</w:t>
      </w:r>
      <w:r w:rsidR="008A205D" w:rsidRPr="003E7A82">
        <w:rPr>
          <w:rFonts w:ascii="Times New Roman" w:hAnsi="Times New Roman" w:cs="Times New Roman"/>
          <w:iCs/>
          <w:sz w:val="24"/>
          <w:szCs w:val="24"/>
        </w:rPr>
        <w:t xml:space="preserve"> </w:t>
      </w:r>
      <w:r w:rsidR="001E35CA" w:rsidRPr="003E7A82">
        <w:rPr>
          <w:rFonts w:ascii="Times New Roman" w:hAnsi="Times New Roman" w:cs="Times New Roman"/>
          <w:iCs/>
          <w:sz w:val="24"/>
          <w:szCs w:val="24"/>
        </w:rPr>
        <w:t xml:space="preserve">este trabajo </w:t>
      </w:r>
      <w:r w:rsidR="00E743B1" w:rsidRPr="003E7A82">
        <w:rPr>
          <w:rFonts w:ascii="Times New Roman" w:hAnsi="Times New Roman" w:cs="Times New Roman"/>
          <w:iCs/>
          <w:sz w:val="24"/>
          <w:szCs w:val="24"/>
        </w:rPr>
        <w:t>cuestiona y aporta propuestas para responder a</w:t>
      </w:r>
      <w:r w:rsidR="00804038" w:rsidRPr="003E7A82">
        <w:rPr>
          <w:rFonts w:ascii="Times New Roman" w:hAnsi="Times New Roman" w:cs="Times New Roman"/>
          <w:iCs/>
          <w:sz w:val="24"/>
          <w:szCs w:val="24"/>
        </w:rPr>
        <w:t xml:space="preserve"> </w:t>
      </w:r>
      <w:r w:rsidR="00E743B1" w:rsidRPr="003E7A82">
        <w:rPr>
          <w:rFonts w:ascii="Times New Roman" w:hAnsi="Times New Roman" w:cs="Times New Roman"/>
          <w:iCs/>
          <w:sz w:val="24"/>
          <w:szCs w:val="24"/>
        </w:rPr>
        <w:t>l</w:t>
      </w:r>
      <w:r w:rsidR="00804038" w:rsidRPr="003E7A82">
        <w:rPr>
          <w:rFonts w:ascii="Times New Roman" w:hAnsi="Times New Roman" w:cs="Times New Roman"/>
          <w:iCs/>
          <w:sz w:val="24"/>
          <w:szCs w:val="24"/>
        </w:rPr>
        <w:t>a</w:t>
      </w:r>
      <w:r w:rsidR="00E743B1" w:rsidRPr="003E7A82">
        <w:rPr>
          <w:rFonts w:ascii="Times New Roman" w:hAnsi="Times New Roman" w:cs="Times New Roman"/>
          <w:iCs/>
          <w:sz w:val="24"/>
          <w:szCs w:val="24"/>
        </w:rPr>
        <w:t xml:space="preserve"> </w:t>
      </w:r>
      <w:r w:rsidR="00804038" w:rsidRPr="003E7A82">
        <w:rPr>
          <w:rFonts w:ascii="Times New Roman" w:hAnsi="Times New Roman" w:cs="Times New Roman"/>
          <w:iCs/>
          <w:sz w:val="24"/>
          <w:szCs w:val="24"/>
        </w:rPr>
        <w:t>adecuación</w:t>
      </w:r>
      <w:r w:rsidR="00E743B1" w:rsidRPr="003E7A82">
        <w:rPr>
          <w:rFonts w:ascii="Times New Roman" w:hAnsi="Times New Roman" w:cs="Times New Roman"/>
          <w:iCs/>
          <w:sz w:val="24"/>
          <w:szCs w:val="24"/>
        </w:rPr>
        <w:t xml:space="preserve"> </w:t>
      </w:r>
      <w:r w:rsidR="00804038" w:rsidRPr="003E7A82">
        <w:rPr>
          <w:rFonts w:ascii="Times New Roman" w:hAnsi="Times New Roman" w:cs="Times New Roman"/>
          <w:iCs/>
          <w:sz w:val="24"/>
          <w:szCs w:val="24"/>
        </w:rPr>
        <w:t>del</w:t>
      </w:r>
      <w:r w:rsidR="0034211D" w:rsidRPr="003E7A82">
        <w:rPr>
          <w:rFonts w:ascii="Times New Roman" w:hAnsi="Times New Roman" w:cs="Times New Roman"/>
          <w:iCs/>
          <w:sz w:val="24"/>
          <w:szCs w:val="24"/>
        </w:rPr>
        <w:t xml:space="preserve"> modelo de educación superior prevaleciente</w:t>
      </w:r>
      <w:r w:rsidR="009D5D1F" w:rsidRPr="003E7A82">
        <w:rPr>
          <w:rFonts w:ascii="Times New Roman" w:hAnsi="Times New Roman" w:cs="Times New Roman"/>
          <w:iCs/>
          <w:sz w:val="24"/>
          <w:szCs w:val="24"/>
        </w:rPr>
        <w:t xml:space="preserve">, </w:t>
      </w:r>
      <w:r w:rsidR="00804038" w:rsidRPr="003E7A82">
        <w:rPr>
          <w:rFonts w:ascii="Times New Roman" w:hAnsi="Times New Roman" w:cs="Times New Roman"/>
          <w:iCs/>
          <w:sz w:val="24"/>
          <w:szCs w:val="24"/>
        </w:rPr>
        <w:t>dadas</w:t>
      </w:r>
      <w:r w:rsidR="009D5D1F" w:rsidRPr="003E7A82">
        <w:rPr>
          <w:rFonts w:ascii="Times New Roman" w:hAnsi="Times New Roman" w:cs="Times New Roman"/>
          <w:iCs/>
          <w:sz w:val="24"/>
          <w:szCs w:val="24"/>
        </w:rPr>
        <w:t xml:space="preserve"> las políticas públicas </w:t>
      </w:r>
      <w:r w:rsidR="002C2671" w:rsidRPr="003E7A82">
        <w:rPr>
          <w:rFonts w:ascii="Times New Roman" w:hAnsi="Times New Roman" w:cs="Times New Roman"/>
          <w:iCs/>
          <w:sz w:val="24"/>
          <w:szCs w:val="24"/>
        </w:rPr>
        <w:t xml:space="preserve">relativas a la educación superior </w:t>
      </w:r>
      <w:r w:rsidR="009D5D1F" w:rsidRPr="003E7A82">
        <w:rPr>
          <w:rFonts w:ascii="Times New Roman" w:hAnsi="Times New Roman" w:cs="Times New Roman"/>
          <w:iCs/>
          <w:sz w:val="24"/>
          <w:szCs w:val="24"/>
        </w:rPr>
        <w:t>ante l</w:t>
      </w:r>
      <w:r w:rsidR="00DA538B" w:rsidRPr="003E7A82">
        <w:rPr>
          <w:rFonts w:ascii="Times New Roman" w:hAnsi="Times New Roman" w:cs="Times New Roman"/>
          <w:iCs/>
          <w:sz w:val="24"/>
          <w:szCs w:val="24"/>
        </w:rPr>
        <w:t>a</w:t>
      </w:r>
      <w:r w:rsidR="009D5D1F" w:rsidRPr="003E7A82">
        <w:rPr>
          <w:rFonts w:ascii="Times New Roman" w:hAnsi="Times New Roman" w:cs="Times New Roman"/>
          <w:iCs/>
          <w:sz w:val="24"/>
          <w:szCs w:val="24"/>
        </w:rPr>
        <w:t xml:space="preserve"> </w:t>
      </w:r>
      <w:r w:rsidR="00DA538B" w:rsidRPr="003E7A82">
        <w:rPr>
          <w:rFonts w:ascii="Times New Roman" w:hAnsi="Times New Roman" w:cs="Times New Roman"/>
          <w:iCs/>
          <w:sz w:val="24"/>
          <w:szCs w:val="24"/>
        </w:rPr>
        <w:t>presencia d</w:t>
      </w:r>
      <w:r w:rsidR="009D5D1F" w:rsidRPr="003E7A82">
        <w:rPr>
          <w:rFonts w:ascii="Times New Roman" w:hAnsi="Times New Roman" w:cs="Times New Roman"/>
          <w:iCs/>
          <w:sz w:val="24"/>
          <w:szCs w:val="24"/>
        </w:rPr>
        <w:t>el bono demog</w:t>
      </w:r>
      <w:r w:rsidR="002C2671" w:rsidRPr="003E7A82">
        <w:rPr>
          <w:rFonts w:ascii="Times New Roman" w:hAnsi="Times New Roman" w:cs="Times New Roman"/>
          <w:iCs/>
          <w:sz w:val="24"/>
          <w:szCs w:val="24"/>
        </w:rPr>
        <w:t xml:space="preserve">ráfico </w:t>
      </w:r>
      <w:r w:rsidR="009F0AFE" w:rsidRPr="003E7A82">
        <w:rPr>
          <w:rFonts w:ascii="Times New Roman" w:hAnsi="Times New Roman" w:cs="Times New Roman"/>
          <w:iCs/>
          <w:sz w:val="24"/>
          <w:szCs w:val="24"/>
        </w:rPr>
        <w:t>a la etapa laboral en nuestro país.</w:t>
      </w:r>
    </w:p>
    <w:p w14:paraId="0BF2AC61" w14:textId="527FB0E5" w:rsidR="00A67BED" w:rsidRPr="003E7A82" w:rsidRDefault="00AB4788"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Conforme </w:t>
      </w:r>
      <w:r w:rsidR="00883530" w:rsidRPr="003E7A82">
        <w:rPr>
          <w:rFonts w:ascii="Times New Roman" w:hAnsi="Times New Roman" w:cs="Times New Roman"/>
          <w:iCs/>
          <w:sz w:val="24"/>
          <w:szCs w:val="24"/>
        </w:rPr>
        <w:t>refiere</w:t>
      </w:r>
      <w:r w:rsidRPr="003E7A82">
        <w:rPr>
          <w:rFonts w:ascii="Times New Roman" w:hAnsi="Times New Roman" w:cs="Times New Roman"/>
          <w:iCs/>
          <w:sz w:val="24"/>
          <w:szCs w:val="24"/>
        </w:rPr>
        <w:t xml:space="preserve"> e</w:t>
      </w:r>
      <w:r w:rsidR="00EC5CE8" w:rsidRPr="003E7A82">
        <w:rPr>
          <w:rFonts w:ascii="Times New Roman" w:hAnsi="Times New Roman" w:cs="Times New Roman"/>
          <w:iCs/>
          <w:sz w:val="24"/>
          <w:szCs w:val="24"/>
        </w:rPr>
        <w:t>ste</w:t>
      </w:r>
      <w:r w:rsidRPr="003E7A82">
        <w:rPr>
          <w:rFonts w:ascii="Times New Roman" w:hAnsi="Times New Roman" w:cs="Times New Roman"/>
          <w:iCs/>
          <w:sz w:val="24"/>
          <w:szCs w:val="24"/>
        </w:rPr>
        <w:t xml:space="preserve"> documento, </w:t>
      </w:r>
      <w:r w:rsidR="00A67BED" w:rsidRPr="003E7A82">
        <w:rPr>
          <w:rFonts w:ascii="Times New Roman" w:hAnsi="Times New Roman" w:cs="Times New Roman"/>
          <w:iCs/>
          <w:sz w:val="24"/>
          <w:szCs w:val="24"/>
        </w:rPr>
        <w:t>el sistema</w:t>
      </w:r>
      <w:r w:rsidR="00CF7BA6" w:rsidRPr="003E7A82">
        <w:rPr>
          <w:rFonts w:ascii="Times New Roman" w:hAnsi="Times New Roman" w:cs="Times New Roman"/>
          <w:iCs/>
          <w:sz w:val="24"/>
          <w:szCs w:val="24"/>
        </w:rPr>
        <w:t xml:space="preserve"> de educación </w:t>
      </w:r>
      <w:r w:rsidR="00A67BED" w:rsidRPr="003E7A82">
        <w:rPr>
          <w:rFonts w:ascii="Times New Roman" w:hAnsi="Times New Roman" w:cs="Times New Roman"/>
          <w:iCs/>
          <w:sz w:val="24"/>
          <w:szCs w:val="24"/>
        </w:rPr>
        <w:t xml:space="preserve">superior </w:t>
      </w:r>
      <w:r w:rsidR="00CF7BA6" w:rsidRPr="003E7A82">
        <w:rPr>
          <w:rFonts w:ascii="Times New Roman" w:hAnsi="Times New Roman" w:cs="Times New Roman"/>
          <w:iCs/>
          <w:sz w:val="24"/>
          <w:szCs w:val="24"/>
        </w:rPr>
        <w:t xml:space="preserve">en México </w:t>
      </w:r>
      <w:r w:rsidR="00125B8B" w:rsidRPr="003E7A82">
        <w:rPr>
          <w:rFonts w:ascii="Times New Roman" w:hAnsi="Times New Roman" w:cs="Times New Roman"/>
          <w:iCs/>
          <w:sz w:val="24"/>
          <w:szCs w:val="24"/>
        </w:rPr>
        <w:t>“</w:t>
      </w:r>
      <w:r w:rsidR="00A67BED" w:rsidRPr="003E7A82">
        <w:rPr>
          <w:rFonts w:ascii="Times New Roman" w:hAnsi="Times New Roman" w:cs="Times New Roman"/>
          <w:iCs/>
          <w:sz w:val="24"/>
          <w:szCs w:val="24"/>
        </w:rPr>
        <w:t>es grande y complejo, pero carece de la diversidad</w:t>
      </w:r>
      <w:r w:rsidR="00061DEA" w:rsidRPr="003E7A82">
        <w:rPr>
          <w:rFonts w:ascii="Times New Roman" w:hAnsi="Times New Roman" w:cs="Times New Roman"/>
          <w:iCs/>
          <w:sz w:val="24"/>
          <w:szCs w:val="24"/>
        </w:rPr>
        <w:t xml:space="preserve"> </w:t>
      </w:r>
      <w:r w:rsidR="00A67BED" w:rsidRPr="003E7A82">
        <w:rPr>
          <w:rFonts w:ascii="Times New Roman" w:hAnsi="Times New Roman" w:cs="Times New Roman"/>
          <w:iCs/>
          <w:sz w:val="24"/>
          <w:szCs w:val="24"/>
        </w:rPr>
        <w:t>de campos y niveles de estudio requeridos para cubrir las necesidades del mercado laboral</w:t>
      </w:r>
      <w:r w:rsidR="00125B8B" w:rsidRPr="003E7A82">
        <w:rPr>
          <w:rFonts w:ascii="Times New Roman" w:hAnsi="Times New Roman" w:cs="Times New Roman"/>
          <w:iCs/>
          <w:sz w:val="24"/>
          <w:szCs w:val="24"/>
        </w:rPr>
        <w:t>”</w:t>
      </w:r>
      <w:r w:rsidR="00292B82" w:rsidRPr="003E7A82">
        <w:rPr>
          <w:rFonts w:ascii="Times New Roman" w:hAnsi="Times New Roman" w:cs="Times New Roman"/>
          <w:iCs/>
          <w:sz w:val="24"/>
          <w:szCs w:val="24"/>
        </w:rPr>
        <w:t xml:space="preserve"> (</w:t>
      </w:r>
      <w:r w:rsidR="00883530" w:rsidRPr="003E7A82">
        <w:rPr>
          <w:rFonts w:ascii="Times New Roman" w:hAnsi="Times New Roman" w:cs="Times New Roman"/>
          <w:iCs/>
          <w:sz w:val="24"/>
          <w:szCs w:val="24"/>
        </w:rPr>
        <w:t xml:space="preserve">Galán-Muros </w:t>
      </w:r>
      <w:r w:rsidR="00103BF2" w:rsidRPr="0014660A">
        <w:rPr>
          <w:rFonts w:ascii="Times New Roman" w:hAnsi="Times New Roman" w:cs="Times New Roman"/>
          <w:iCs/>
          <w:sz w:val="24"/>
          <w:szCs w:val="24"/>
        </w:rPr>
        <w:t>y Hofer</w:t>
      </w:r>
      <w:r w:rsidR="00103BF2" w:rsidRPr="003E7A82">
        <w:rPr>
          <w:rFonts w:ascii="Times New Roman" w:hAnsi="Times New Roman" w:cs="Times New Roman"/>
          <w:iCs/>
          <w:sz w:val="24"/>
          <w:szCs w:val="24"/>
        </w:rPr>
        <w:t xml:space="preserve">, </w:t>
      </w:r>
      <w:r w:rsidR="00292B82" w:rsidRPr="003E7A82">
        <w:rPr>
          <w:rFonts w:ascii="Times New Roman" w:hAnsi="Times New Roman" w:cs="Times New Roman"/>
          <w:iCs/>
          <w:sz w:val="24"/>
          <w:szCs w:val="24"/>
        </w:rPr>
        <w:t>2019, p.</w:t>
      </w:r>
      <w:r w:rsidR="00125B8B" w:rsidRPr="003E7A82">
        <w:rPr>
          <w:rFonts w:ascii="Times New Roman" w:hAnsi="Times New Roman" w:cs="Times New Roman"/>
          <w:iCs/>
          <w:sz w:val="24"/>
          <w:szCs w:val="24"/>
        </w:rPr>
        <w:t xml:space="preserve"> </w:t>
      </w:r>
      <w:r w:rsidR="00733B4A" w:rsidRPr="003E7A82">
        <w:rPr>
          <w:rFonts w:ascii="Times New Roman" w:hAnsi="Times New Roman" w:cs="Times New Roman"/>
          <w:iCs/>
          <w:sz w:val="24"/>
          <w:szCs w:val="24"/>
        </w:rPr>
        <w:t>3</w:t>
      </w:r>
      <w:r w:rsidR="00292B82" w:rsidRPr="003E7A82">
        <w:rPr>
          <w:rFonts w:ascii="Times New Roman" w:hAnsi="Times New Roman" w:cs="Times New Roman"/>
          <w:iCs/>
          <w:sz w:val="24"/>
          <w:szCs w:val="24"/>
        </w:rPr>
        <w:t>)</w:t>
      </w:r>
      <w:r w:rsidR="006C0F6B" w:rsidRPr="003E7A82">
        <w:rPr>
          <w:rFonts w:ascii="Times New Roman" w:hAnsi="Times New Roman" w:cs="Times New Roman"/>
          <w:iCs/>
          <w:sz w:val="24"/>
          <w:szCs w:val="24"/>
        </w:rPr>
        <w:t>,</w:t>
      </w:r>
      <w:r w:rsidR="00061DEA" w:rsidRPr="003E7A82">
        <w:rPr>
          <w:rFonts w:ascii="Times New Roman" w:hAnsi="Times New Roman" w:cs="Times New Roman"/>
          <w:iCs/>
          <w:sz w:val="24"/>
          <w:szCs w:val="24"/>
        </w:rPr>
        <w:t xml:space="preserve"> </w:t>
      </w:r>
      <w:r w:rsidR="006C0F6B" w:rsidRPr="003E7A82">
        <w:rPr>
          <w:rFonts w:ascii="Times New Roman" w:hAnsi="Times New Roman" w:cs="Times New Roman"/>
          <w:iCs/>
          <w:sz w:val="24"/>
          <w:szCs w:val="24"/>
        </w:rPr>
        <w:t>a</w:t>
      </w:r>
      <w:r w:rsidR="00061DEA" w:rsidRPr="003E7A82">
        <w:rPr>
          <w:rFonts w:ascii="Times New Roman" w:hAnsi="Times New Roman" w:cs="Times New Roman"/>
          <w:iCs/>
          <w:sz w:val="24"/>
          <w:szCs w:val="24"/>
        </w:rPr>
        <w:t xml:space="preserve"> pesar de los </w:t>
      </w:r>
      <w:r w:rsidR="00061DEA" w:rsidRPr="003E7A82">
        <w:rPr>
          <w:rFonts w:ascii="Times New Roman" w:hAnsi="Times New Roman" w:cs="Times New Roman"/>
          <w:iCs/>
          <w:sz w:val="24"/>
          <w:szCs w:val="24"/>
        </w:rPr>
        <w:lastRenderedPageBreak/>
        <w:t xml:space="preserve">esfuerzos </w:t>
      </w:r>
      <w:r w:rsidR="00A01FF5" w:rsidRPr="003E7A82">
        <w:rPr>
          <w:rFonts w:ascii="Times New Roman" w:hAnsi="Times New Roman" w:cs="Times New Roman"/>
          <w:iCs/>
          <w:sz w:val="24"/>
          <w:szCs w:val="24"/>
        </w:rPr>
        <w:t>de promoción de marcos de gestión de calidad</w:t>
      </w:r>
      <w:r w:rsidR="00A67BED" w:rsidRPr="003E7A82">
        <w:rPr>
          <w:rFonts w:ascii="Times New Roman" w:hAnsi="Times New Roman" w:cs="Times New Roman"/>
          <w:iCs/>
          <w:sz w:val="24"/>
          <w:szCs w:val="24"/>
        </w:rPr>
        <w:t xml:space="preserve"> </w:t>
      </w:r>
      <w:r w:rsidR="00DE19EF" w:rsidRPr="003E7A82">
        <w:rPr>
          <w:rFonts w:ascii="Times New Roman" w:hAnsi="Times New Roman" w:cs="Times New Roman"/>
          <w:iCs/>
          <w:sz w:val="24"/>
          <w:szCs w:val="24"/>
        </w:rPr>
        <w:t>en dicho sistema</w:t>
      </w:r>
      <w:r w:rsidR="00404E39" w:rsidRPr="003E7A82">
        <w:rPr>
          <w:rFonts w:ascii="Times New Roman" w:hAnsi="Times New Roman" w:cs="Times New Roman"/>
          <w:iCs/>
          <w:sz w:val="24"/>
          <w:szCs w:val="24"/>
        </w:rPr>
        <w:t>,</w:t>
      </w:r>
      <w:r w:rsidR="00DE19EF" w:rsidRPr="003E7A82">
        <w:rPr>
          <w:rFonts w:ascii="Times New Roman" w:hAnsi="Times New Roman" w:cs="Times New Roman"/>
          <w:iCs/>
          <w:sz w:val="24"/>
          <w:szCs w:val="24"/>
        </w:rPr>
        <w:t xml:space="preserve"> su </w:t>
      </w:r>
      <w:r w:rsidR="0037290F" w:rsidRPr="003E7A82">
        <w:rPr>
          <w:rFonts w:ascii="Times New Roman" w:hAnsi="Times New Roman" w:cs="Times New Roman"/>
          <w:iCs/>
          <w:sz w:val="24"/>
          <w:szCs w:val="24"/>
        </w:rPr>
        <w:t>falta de cobertura y en algunos casos de duplicación de esfuerzos</w:t>
      </w:r>
      <w:r w:rsidR="007E65C0" w:rsidRPr="003E7A82">
        <w:rPr>
          <w:rFonts w:ascii="Times New Roman" w:hAnsi="Times New Roman" w:cs="Times New Roman"/>
          <w:iCs/>
          <w:sz w:val="24"/>
          <w:szCs w:val="24"/>
        </w:rPr>
        <w:t>, le ha</w:t>
      </w:r>
      <w:r w:rsidR="000969AE" w:rsidRPr="003E7A82">
        <w:rPr>
          <w:rFonts w:ascii="Times New Roman" w:hAnsi="Times New Roman" w:cs="Times New Roman"/>
          <w:iCs/>
          <w:sz w:val="24"/>
          <w:szCs w:val="24"/>
        </w:rPr>
        <w:t>n</w:t>
      </w:r>
      <w:r w:rsidR="007E65C0" w:rsidRPr="003E7A82">
        <w:rPr>
          <w:rFonts w:ascii="Times New Roman" w:hAnsi="Times New Roman" w:cs="Times New Roman"/>
          <w:iCs/>
          <w:sz w:val="24"/>
          <w:szCs w:val="24"/>
        </w:rPr>
        <w:t xml:space="preserve"> restado efectividad.</w:t>
      </w:r>
    </w:p>
    <w:p w14:paraId="7CA90B94" w14:textId="6B05ADE6" w:rsidR="004C128F" w:rsidRPr="003E7A82" w:rsidRDefault="00A1329B"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Se carece de objetivos comunes que permitan a los estudiantes contar con recursos adicionales</w:t>
      </w:r>
      <w:r w:rsidR="00CB47AF" w:rsidRPr="003E7A82">
        <w:rPr>
          <w:rFonts w:ascii="Times New Roman" w:hAnsi="Times New Roman" w:cs="Times New Roman"/>
          <w:iCs/>
          <w:sz w:val="24"/>
          <w:szCs w:val="24"/>
        </w:rPr>
        <w:t xml:space="preserve">, así como acceso a enfoques </w:t>
      </w:r>
      <w:r w:rsidR="00C0563A" w:rsidRPr="003E7A82">
        <w:rPr>
          <w:rFonts w:ascii="Times New Roman" w:hAnsi="Times New Roman" w:cs="Times New Roman"/>
          <w:iCs/>
          <w:sz w:val="24"/>
          <w:szCs w:val="24"/>
        </w:rPr>
        <w:t xml:space="preserve">de enseñanza-aprendizaje </w:t>
      </w:r>
      <w:r w:rsidR="004C128F" w:rsidRPr="003E7A82">
        <w:rPr>
          <w:rFonts w:ascii="Times New Roman" w:hAnsi="Times New Roman" w:cs="Times New Roman"/>
          <w:iCs/>
          <w:sz w:val="24"/>
          <w:szCs w:val="24"/>
        </w:rPr>
        <w:t>uniformes e innovadores. De igual forma la diversidad de tamaño de las instituciones</w:t>
      </w:r>
      <w:r w:rsidR="00157AD1" w:rsidRPr="003E7A82">
        <w:rPr>
          <w:rFonts w:ascii="Times New Roman" w:hAnsi="Times New Roman" w:cs="Times New Roman"/>
          <w:iCs/>
          <w:sz w:val="24"/>
          <w:szCs w:val="24"/>
        </w:rPr>
        <w:t xml:space="preserve"> complica su acceso a </w:t>
      </w:r>
      <w:r w:rsidR="001F48B2" w:rsidRPr="003E7A82">
        <w:rPr>
          <w:rFonts w:ascii="Times New Roman" w:hAnsi="Times New Roman" w:cs="Times New Roman"/>
          <w:iCs/>
          <w:sz w:val="24"/>
          <w:szCs w:val="24"/>
        </w:rPr>
        <w:t xml:space="preserve">foros de colaboración y recursos para </w:t>
      </w:r>
      <w:r w:rsidR="003E266C" w:rsidRPr="003E7A82">
        <w:rPr>
          <w:rFonts w:ascii="Times New Roman" w:hAnsi="Times New Roman" w:cs="Times New Roman"/>
          <w:iCs/>
          <w:sz w:val="24"/>
          <w:szCs w:val="24"/>
        </w:rPr>
        <w:t>lograr una relación efectiva con proveedores de empleo y una formación orientada a satisfacer sus requerimientos.</w:t>
      </w:r>
    </w:p>
    <w:p w14:paraId="2C22B4E0" w14:textId="610D6D77" w:rsidR="00A67BED" w:rsidRPr="003E7A82" w:rsidRDefault="00B12F74"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Asimismo</w:t>
      </w:r>
      <w:r w:rsidR="00692D6A"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00A14743" w:rsidRPr="003E7A82">
        <w:rPr>
          <w:rFonts w:ascii="Times New Roman" w:hAnsi="Times New Roman" w:cs="Times New Roman"/>
          <w:iCs/>
          <w:sz w:val="24"/>
          <w:szCs w:val="24"/>
        </w:rPr>
        <w:t xml:space="preserve">de fijarse los objetivos adecuados, </w:t>
      </w:r>
      <w:r w:rsidR="00A67BED" w:rsidRPr="003E7A82">
        <w:rPr>
          <w:rFonts w:ascii="Times New Roman" w:hAnsi="Times New Roman" w:cs="Times New Roman"/>
          <w:iCs/>
          <w:sz w:val="24"/>
          <w:szCs w:val="24"/>
        </w:rPr>
        <w:t>México</w:t>
      </w:r>
      <w:r w:rsidR="00A14743" w:rsidRPr="003E7A82">
        <w:rPr>
          <w:rFonts w:ascii="Times New Roman" w:hAnsi="Times New Roman" w:cs="Times New Roman"/>
          <w:iCs/>
          <w:sz w:val="24"/>
          <w:szCs w:val="24"/>
        </w:rPr>
        <w:t xml:space="preserve"> como otros</w:t>
      </w:r>
      <w:r w:rsidR="00A67BED" w:rsidRPr="003E7A82">
        <w:rPr>
          <w:rFonts w:ascii="Times New Roman" w:hAnsi="Times New Roman" w:cs="Times New Roman"/>
          <w:iCs/>
          <w:sz w:val="24"/>
          <w:szCs w:val="24"/>
        </w:rPr>
        <w:t xml:space="preserve"> países </w:t>
      </w:r>
      <w:r w:rsidR="00A14743" w:rsidRPr="003E7A82">
        <w:rPr>
          <w:rFonts w:ascii="Times New Roman" w:hAnsi="Times New Roman" w:cs="Times New Roman"/>
          <w:iCs/>
          <w:sz w:val="24"/>
          <w:szCs w:val="24"/>
        </w:rPr>
        <w:t xml:space="preserve">miembros </w:t>
      </w:r>
      <w:r w:rsidR="00A67BED" w:rsidRPr="003E7A82">
        <w:rPr>
          <w:rFonts w:ascii="Times New Roman" w:hAnsi="Times New Roman" w:cs="Times New Roman"/>
          <w:iCs/>
          <w:sz w:val="24"/>
          <w:szCs w:val="24"/>
        </w:rPr>
        <w:t>de la OCDE, p</w:t>
      </w:r>
      <w:r w:rsidR="00A14743" w:rsidRPr="003E7A82">
        <w:rPr>
          <w:rFonts w:ascii="Times New Roman" w:hAnsi="Times New Roman" w:cs="Times New Roman"/>
          <w:iCs/>
          <w:sz w:val="24"/>
          <w:szCs w:val="24"/>
        </w:rPr>
        <w:t xml:space="preserve">odría </w:t>
      </w:r>
      <w:r w:rsidR="00FA550C" w:rsidRPr="003E7A82">
        <w:rPr>
          <w:rFonts w:ascii="Times New Roman" w:hAnsi="Times New Roman" w:cs="Times New Roman"/>
          <w:iCs/>
          <w:sz w:val="24"/>
          <w:szCs w:val="24"/>
        </w:rPr>
        <w:t xml:space="preserve">perfeccionar sus políticas de desarrollo de la educación superior con un </w:t>
      </w:r>
      <w:r w:rsidR="00EB745A" w:rsidRPr="003E7A82">
        <w:rPr>
          <w:rFonts w:ascii="Times New Roman" w:hAnsi="Times New Roman" w:cs="Times New Roman"/>
          <w:iCs/>
          <w:sz w:val="24"/>
          <w:szCs w:val="24"/>
        </w:rPr>
        <w:t>enfoque más efectivo para su desarrollo económico y una integración</w:t>
      </w:r>
      <w:r w:rsidR="006320CB" w:rsidRPr="003E7A82">
        <w:rPr>
          <w:rFonts w:ascii="Times New Roman" w:hAnsi="Times New Roman" w:cs="Times New Roman"/>
          <w:iCs/>
          <w:sz w:val="24"/>
          <w:szCs w:val="24"/>
        </w:rPr>
        <w:t xml:space="preserve"> tanto en el mercado laboral como en </w:t>
      </w:r>
      <w:r w:rsidR="00992F40" w:rsidRPr="003E7A82">
        <w:rPr>
          <w:rFonts w:ascii="Times New Roman" w:hAnsi="Times New Roman" w:cs="Times New Roman"/>
          <w:iCs/>
          <w:sz w:val="24"/>
          <w:szCs w:val="24"/>
        </w:rPr>
        <w:t xml:space="preserve">la </w:t>
      </w:r>
      <w:r w:rsidR="006320CB" w:rsidRPr="003E7A82">
        <w:rPr>
          <w:rFonts w:ascii="Times New Roman" w:hAnsi="Times New Roman" w:cs="Times New Roman"/>
          <w:iCs/>
          <w:sz w:val="24"/>
          <w:szCs w:val="24"/>
        </w:rPr>
        <w:t xml:space="preserve">investigación y </w:t>
      </w:r>
      <w:r w:rsidR="00992F40" w:rsidRPr="003E7A82">
        <w:rPr>
          <w:rFonts w:ascii="Times New Roman" w:hAnsi="Times New Roman" w:cs="Times New Roman"/>
          <w:iCs/>
          <w:sz w:val="24"/>
          <w:szCs w:val="24"/>
        </w:rPr>
        <w:t xml:space="preserve">la </w:t>
      </w:r>
      <w:r w:rsidR="006320CB" w:rsidRPr="003E7A82">
        <w:rPr>
          <w:rFonts w:ascii="Times New Roman" w:hAnsi="Times New Roman" w:cs="Times New Roman"/>
          <w:iCs/>
          <w:sz w:val="24"/>
          <w:szCs w:val="24"/>
        </w:rPr>
        <w:t>educación superior</w:t>
      </w:r>
      <w:r w:rsidR="00765DCC" w:rsidRPr="003E7A82">
        <w:rPr>
          <w:rFonts w:ascii="Times New Roman" w:hAnsi="Times New Roman" w:cs="Times New Roman"/>
          <w:iCs/>
          <w:sz w:val="24"/>
          <w:szCs w:val="24"/>
        </w:rPr>
        <w:t xml:space="preserve">, </w:t>
      </w:r>
      <w:r w:rsidR="008B3B34" w:rsidRPr="003E7A82">
        <w:rPr>
          <w:rFonts w:ascii="Times New Roman" w:hAnsi="Times New Roman" w:cs="Times New Roman"/>
          <w:iCs/>
          <w:sz w:val="24"/>
          <w:szCs w:val="24"/>
        </w:rPr>
        <w:t>hacia el interior del paí</w:t>
      </w:r>
      <w:r w:rsidR="00765DCC" w:rsidRPr="003E7A82">
        <w:rPr>
          <w:rFonts w:ascii="Times New Roman" w:hAnsi="Times New Roman" w:cs="Times New Roman"/>
          <w:iCs/>
          <w:sz w:val="24"/>
          <w:szCs w:val="24"/>
        </w:rPr>
        <w:t xml:space="preserve">s </w:t>
      </w:r>
      <w:r w:rsidR="002E753B" w:rsidRPr="003E7A82">
        <w:rPr>
          <w:rFonts w:ascii="Times New Roman" w:hAnsi="Times New Roman" w:cs="Times New Roman"/>
          <w:iCs/>
          <w:sz w:val="24"/>
          <w:szCs w:val="24"/>
        </w:rPr>
        <w:t>y</w:t>
      </w:r>
      <w:r w:rsidR="00765DCC" w:rsidRPr="003E7A82">
        <w:rPr>
          <w:rFonts w:ascii="Times New Roman" w:hAnsi="Times New Roman" w:cs="Times New Roman"/>
          <w:iCs/>
          <w:sz w:val="24"/>
          <w:szCs w:val="24"/>
        </w:rPr>
        <w:t xml:space="preserve"> </w:t>
      </w:r>
      <w:r w:rsidR="00ED4E40" w:rsidRPr="003E7A82">
        <w:rPr>
          <w:rFonts w:ascii="Times New Roman" w:hAnsi="Times New Roman" w:cs="Times New Roman"/>
          <w:iCs/>
          <w:sz w:val="24"/>
          <w:szCs w:val="24"/>
        </w:rPr>
        <w:t xml:space="preserve">con otros </w:t>
      </w:r>
      <w:r w:rsidR="00765DCC" w:rsidRPr="003E7A82">
        <w:rPr>
          <w:rFonts w:ascii="Times New Roman" w:hAnsi="Times New Roman" w:cs="Times New Roman"/>
          <w:iCs/>
          <w:sz w:val="24"/>
          <w:szCs w:val="24"/>
        </w:rPr>
        <w:t xml:space="preserve">países y regiones </w:t>
      </w:r>
      <w:r w:rsidR="00ED4E40" w:rsidRPr="003E7A82">
        <w:rPr>
          <w:rFonts w:ascii="Times New Roman" w:hAnsi="Times New Roman" w:cs="Times New Roman"/>
          <w:iCs/>
          <w:sz w:val="24"/>
          <w:szCs w:val="24"/>
        </w:rPr>
        <w:t>del mundo.</w:t>
      </w:r>
    </w:p>
    <w:p w14:paraId="5B2D613E" w14:textId="77777777" w:rsidR="0030114F" w:rsidRPr="003E7A82" w:rsidRDefault="0030114F" w:rsidP="00E77F98">
      <w:pPr>
        <w:spacing w:before="40" w:after="40" w:line="360" w:lineRule="auto"/>
        <w:jc w:val="both"/>
        <w:rPr>
          <w:rFonts w:ascii="Times New Roman" w:hAnsi="Times New Roman" w:cs="Times New Roman"/>
          <w:iCs/>
          <w:sz w:val="24"/>
          <w:szCs w:val="24"/>
        </w:rPr>
      </w:pPr>
    </w:p>
    <w:p w14:paraId="6C82A383" w14:textId="57096C84" w:rsidR="00B315A8" w:rsidRPr="003E7A82" w:rsidRDefault="00B315A8" w:rsidP="00E77F98">
      <w:pPr>
        <w:tabs>
          <w:tab w:val="left" w:pos="284"/>
        </w:tabs>
        <w:spacing w:before="40" w:after="40" w:line="360" w:lineRule="auto"/>
        <w:jc w:val="center"/>
        <w:rPr>
          <w:rFonts w:ascii="Times New Roman" w:hAnsi="Times New Roman" w:cs="Times New Roman"/>
          <w:b/>
          <w:sz w:val="32"/>
          <w:szCs w:val="32"/>
        </w:rPr>
      </w:pPr>
      <w:r w:rsidRPr="003E7A82">
        <w:rPr>
          <w:rFonts w:ascii="Times New Roman" w:hAnsi="Times New Roman" w:cs="Times New Roman"/>
          <w:b/>
          <w:sz w:val="32"/>
          <w:szCs w:val="32"/>
        </w:rPr>
        <w:t>Materiales y métodos</w:t>
      </w:r>
    </w:p>
    <w:p w14:paraId="3E7B6CDD" w14:textId="51241247" w:rsidR="00486F3A" w:rsidRPr="003E7A82" w:rsidRDefault="00B315A8" w:rsidP="00E77F98">
      <w:pPr>
        <w:tabs>
          <w:tab w:val="left" w:pos="284"/>
        </w:tabs>
        <w:spacing w:before="40" w:after="40" w:line="360" w:lineRule="auto"/>
        <w:jc w:val="both"/>
        <w:rPr>
          <w:rFonts w:ascii="Times New Roman" w:hAnsi="Times New Roman" w:cs="Times New Roman"/>
          <w:sz w:val="16"/>
          <w:szCs w:val="16"/>
        </w:rPr>
      </w:pPr>
      <w:r w:rsidRPr="003E7A82">
        <w:rPr>
          <w:rFonts w:ascii="Times New Roman" w:hAnsi="Times New Roman" w:cs="Times New Roman"/>
          <w:sz w:val="24"/>
          <w:szCs w:val="24"/>
        </w:rPr>
        <w:t xml:space="preserve">Este trabajo es el resultado de una revisión crítica de la literatura mediante consultas a documentos compartidos por organizaciones nacionales como </w:t>
      </w:r>
      <w:r w:rsidR="003E7A82" w:rsidRPr="003E7A82">
        <w:rPr>
          <w:rFonts w:ascii="Times New Roman" w:hAnsi="Times New Roman" w:cs="Times New Roman"/>
          <w:sz w:val="24"/>
          <w:szCs w:val="24"/>
        </w:rPr>
        <w:t xml:space="preserve">la </w:t>
      </w:r>
      <w:r w:rsidR="003E7A82" w:rsidRPr="0014660A">
        <w:rPr>
          <w:rFonts w:ascii="Times New Roman" w:hAnsi="Times New Roman" w:cs="Times New Roman"/>
          <w:sz w:val="24"/>
          <w:szCs w:val="24"/>
        </w:rPr>
        <w:t>Asociación Nacional de Universidades e Instituciones de Educación Superior (</w:t>
      </w:r>
      <w:r w:rsidRPr="0014660A">
        <w:rPr>
          <w:rFonts w:ascii="Times New Roman" w:hAnsi="Times New Roman" w:cs="Times New Roman"/>
          <w:sz w:val="24"/>
          <w:szCs w:val="24"/>
        </w:rPr>
        <w:t>ANUIES</w:t>
      </w:r>
      <w:r w:rsidR="003E7A82" w:rsidRPr="0014660A">
        <w:rPr>
          <w:rFonts w:ascii="Times New Roman" w:hAnsi="Times New Roman" w:cs="Times New Roman"/>
          <w:sz w:val="24"/>
          <w:szCs w:val="24"/>
        </w:rPr>
        <w:t>)</w:t>
      </w:r>
      <w:r w:rsidRPr="003E7A82">
        <w:rPr>
          <w:rFonts w:ascii="Times New Roman" w:hAnsi="Times New Roman" w:cs="Times New Roman"/>
          <w:sz w:val="24"/>
          <w:szCs w:val="24"/>
        </w:rPr>
        <w:t xml:space="preserve"> e internacionales como la OCDE </w:t>
      </w:r>
      <w:r w:rsidR="007769CD" w:rsidRPr="003E7A82">
        <w:rPr>
          <w:rFonts w:ascii="Times New Roman" w:hAnsi="Times New Roman" w:cs="Times New Roman"/>
          <w:sz w:val="24"/>
          <w:szCs w:val="24"/>
        </w:rPr>
        <w:t xml:space="preserve">e </w:t>
      </w:r>
      <w:proofErr w:type="spellStart"/>
      <w:r w:rsidR="007769CD" w:rsidRPr="003E7A82">
        <w:rPr>
          <w:rFonts w:ascii="Times New Roman" w:hAnsi="Times New Roman" w:cs="Times New Roman"/>
          <w:sz w:val="24"/>
          <w:szCs w:val="24"/>
        </w:rPr>
        <w:t>Infofinland</w:t>
      </w:r>
      <w:proofErr w:type="spellEnd"/>
      <w:r w:rsidR="00125B8B" w:rsidRPr="003E7A82">
        <w:rPr>
          <w:rStyle w:val="Refdenotaalpie"/>
          <w:rFonts w:ascii="Times New Roman" w:hAnsi="Times New Roman" w:cs="Times New Roman"/>
          <w:sz w:val="24"/>
          <w:szCs w:val="24"/>
        </w:rPr>
        <w:footnoteReference w:id="1"/>
      </w:r>
      <w:r w:rsidR="00456C8C" w:rsidRPr="003E7A82">
        <w:rPr>
          <w:rFonts w:ascii="Times New Roman" w:hAnsi="Times New Roman" w:cs="Times New Roman"/>
          <w:sz w:val="24"/>
          <w:szCs w:val="24"/>
        </w:rPr>
        <w:t xml:space="preserve"> (a través de </w:t>
      </w:r>
      <w:r w:rsidR="00103BF2" w:rsidRPr="0014660A">
        <w:rPr>
          <w:rFonts w:ascii="Times New Roman" w:hAnsi="Times New Roman" w:cs="Times New Roman"/>
          <w:sz w:val="24"/>
          <w:szCs w:val="24"/>
        </w:rPr>
        <w:t>I</w:t>
      </w:r>
      <w:r w:rsidR="00456C8C" w:rsidRPr="003E7A82">
        <w:rPr>
          <w:rFonts w:ascii="Times New Roman" w:hAnsi="Times New Roman" w:cs="Times New Roman"/>
          <w:sz w:val="24"/>
          <w:szCs w:val="24"/>
        </w:rPr>
        <w:t>nternet), que se han interesado en lo que se refiere</w:t>
      </w:r>
      <w:r w:rsidR="00137D27" w:rsidRPr="003E7A82">
        <w:rPr>
          <w:rFonts w:ascii="Times New Roman" w:hAnsi="Times New Roman" w:cs="Times New Roman"/>
          <w:sz w:val="24"/>
          <w:szCs w:val="24"/>
        </w:rPr>
        <w:t xml:space="preserve"> a la educación superior en México desde hace varias décadas. La ANUIES nace en 1950 y la</w:t>
      </w:r>
      <w:r w:rsidR="00125B8B" w:rsidRPr="003E7A82">
        <w:rPr>
          <w:rFonts w:ascii="Times New Roman" w:hAnsi="Times New Roman" w:cs="Times New Roman"/>
          <w:sz w:val="16"/>
          <w:szCs w:val="16"/>
        </w:rPr>
        <w:t xml:space="preserve"> </w:t>
      </w:r>
      <w:r w:rsidRPr="003E7A82">
        <w:rPr>
          <w:rFonts w:ascii="Times New Roman" w:hAnsi="Times New Roman" w:cs="Times New Roman"/>
          <w:sz w:val="24"/>
          <w:szCs w:val="24"/>
        </w:rPr>
        <w:t xml:space="preserve">OCDE en 1948, por lo que se pueden reconocer como organizaciones sólidas y confiables. </w:t>
      </w:r>
    </w:p>
    <w:p w14:paraId="6AC7D0EC" w14:textId="056BCCAE" w:rsidR="00B315A8" w:rsidRPr="003E7A82" w:rsidRDefault="00B315A8"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De esta manera, la metodología se basó en una acción de investigación participativa (o PAR por sus siglas en inglés), la cual fue diseñada para generar investigación y crear conocimiento y teorías para la resolución de problemas (Morales, 2016). PAR tiene su antecedente en la Acción de Investigación (o AR por sus siglas en inglés), que se atribuye a Lewin (1948) quién planteó un conjunto de normas de investigación ‘descontextualizada’, en lugar de enfocarse en encuestas y métodos estadísticos, así “AR tiene como objetivo mejorar la formación social al involucrar a los participantes en un proceso crítico de búsqueda de hechos, acción exploratoria y evaluación” (Morales, 2016, p.</w:t>
      </w:r>
      <w:r w:rsidR="00125B8B" w:rsidRPr="003E7A82">
        <w:rPr>
          <w:rFonts w:ascii="Times New Roman" w:hAnsi="Times New Roman" w:cs="Times New Roman"/>
          <w:sz w:val="24"/>
          <w:szCs w:val="24"/>
        </w:rPr>
        <w:t xml:space="preserve"> </w:t>
      </w:r>
      <w:r w:rsidRPr="003E7A82">
        <w:rPr>
          <w:rFonts w:ascii="Times New Roman" w:hAnsi="Times New Roman" w:cs="Times New Roman"/>
          <w:sz w:val="24"/>
          <w:szCs w:val="24"/>
        </w:rPr>
        <w:t>158). Si bien PAR fue creada originalmente para un proceso educativo como tal, este se aplica en este trabajo en la búsqueda de una mejor alineación de la educación superior en México con el compromiso social que esta tiene.</w:t>
      </w:r>
    </w:p>
    <w:p w14:paraId="3364F48F" w14:textId="584D4659" w:rsidR="00B315A8" w:rsidRPr="003E7A82" w:rsidRDefault="00B315A8"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lastRenderedPageBreak/>
        <w:t xml:space="preserve">Por otra parte, Fernández (2017) señala que la población que debería estar cursando estudios superiores en México continúa siendo baja en comparación con otros países, de hecho, una base de datos de la UNESCO reportó para el año 2014, </w:t>
      </w:r>
      <w:r w:rsidR="00084C88" w:rsidRPr="003E7A82">
        <w:rPr>
          <w:rFonts w:ascii="Times New Roman" w:hAnsi="Times New Roman" w:cs="Times New Roman"/>
          <w:sz w:val="24"/>
          <w:szCs w:val="24"/>
        </w:rPr>
        <w:t xml:space="preserve">que </w:t>
      </w:r>
      <w:r w:rsidRPr="003E7A82">
        <w:rPr>
          <w:rFonts w:ascii="Times New Roman" w:hAnsi="Times New Roman" w:cs="Times New Roman"/>
          <w:sz w:val="24"/>
          <w:szCs w:val="24"/>
        </w:rPr>
        <w:t xml:space="preserve">México se situó por debajo del promedio en </w:t>
      </w:r>
      <w:r w:rsidR="004B19F5" w:rsidRPr="003E7A82">
        <w:rPr>
          <w:rFonts w:ascii="Times New Roman" w:hAnsi="Times New Roman" w:cs="Times New Roman"/>
          <w:sz w:val="24"/>
          <w:szCs w:val="24"/>
        </w:rPr>
        <w:t xml:space="preserve">América </w:t>
      </w:r>
      <w:r w:rsidRPr="003E7A82">
        <w:rPr>
          <w:rFonts w:ascii="Times New Roman" w:hAnsi="Times New Roman" w:cs="Times New Roman"/>
          <w:sz w:val="24"/>
          <w:szCs w:val="24"/>
        </w:rPr>
        <w:t xml:space="preserve">Latina con respecto al ingreso de jóvenes a la educación superior. El autor establece la necesidad de una revisión minuciosa del mejoramiento de la cobertura de las instituciones de educación superior, observándose los recursos materiales, humanos y financieros como elementos indispensables para el correcto desempeño de estas. Las propuestas </w:t>
      </w:r>
      <w:r w:rsidR="005C3BA0" w:rsidRPr="003E7A82">
        <w:rPr>
          <w:rFonts w:ascii="Times New Roman" w:hAnsi="Times New Roman" w:cs="Times New Roman"/>
          <w:sz w:val="24"/>
          <w:szCs w:val="24"/>
        </w:rPr>
        <w:t>señaladas por Fernández son</w:t>
      </w:r>
      <w:r w:rsidRPr="003E7A82">
        <w:rPr>
          <w:rFonts w:ascii="Times New Roman" w:hAnsi="Times New Roman" w:cs="Times New Roman"/>
          <w:sz w:val="24"/>
          <w:szCs w:val="24"/>
        </w:rPr>
        <w:t>:</w:t>
      </w:r>
    </w:p>
    <w:p w14:paraId="4306DDED" w14:textId="77777777" w:rsidR="00B315A8" w:rsidRPr="003E7A82" w:rsidRDefault="00B315A8" w:rsidP="00E77F98">
      <w:pPr>
        <w:pStyle w:val="NormalWeb"/>
        <w:numPr>
          <w:ilvl w:val="0"/>
          <w:numId w:val="5"/>
        </w:numPr>
        <w:spacing w:before="40" w:beforeAutospacing="0" w:after="40" w:afterAutospacing="0" w:line="360" w:lineRule="auto"/>
        <w:jc w:val="both"/>
      </w:pPr>
      <w:r w:rsidRPr="003E7A82">
        <w:t xml:space="preserve">Promover que las instituciones públicas de probada calidad incrementen la cobertura a través de la mejora en el uso de su capacidad instalada, de la habilitación de nuevos espacios en los campus ya existentes y, en algunos casos, de la creación de nuevos campus, sobre todo en localidades intermedias. </w:t>
      </w:r>
    </w:p>
    <w:p w14:paraId="797CADFA" w14:textId="77777777" w:rsidR="00B315A8" w:rsidRPr="003E7A82" w:rsidRDefault="00B315A8" w:rsidP="00E77F98">
      <w:pPr>
        <w:pStyle w:val="NormalWeb"/>
        <w:numPr>
          <w:ilvl w:val="0"/>
          <w:numId w:val="5"/>
        </w:numPr>
        <w:spacing w:before="40" w:beforeAutospacing="0" w:after="40" w:afterAutospacing="0" w:line="360" w:lineRule="auto"/>
        <w:jc w:val="both"/>
      </w:pPr>
      <w:r w:rsidRPr="003E7A82">
        <w:t xml:space="preserve">Acompañar al crecimiento de la cobertura con la incorporación de un mayor número de académicos y de la infraestructura necesaria para que la nueva oferta cumpla con los estándares de calidad que han alcanzado las instituciones referidas en sus programas existentes, y que este crecimiento se lleve a cabo en programas académicos relevantes para el desarrollo local y regional. </w:t>
      </w:r>
    </w:p>
    <w:p w14:paraId="3F2B4AB4" w14:textId="23694D0F" w:rsidR="00B315A8" w:rsidRPr="003E7A82" w:rsidRDefault="00B315A8" w:rsidP="00E77F98">
      <w:pPr>
        <w:pStyle w:val="NormalWeb"/>
        <w:numPr>
          <w:ilvl w:val="0"/>
          <w:numId w:val="5"/>
        </w:numPr>
        <w:spacing w:before="40" w:beforeAutospacing="0" w:after="40" w:afterAutospacing="0" w:line="360" w:lineRule="auto"/>
        <w:jc w:val="both"/>
      </w:pPr>
      <w:r w:rsidRPr="003E7A82">
        <w:t>Explorar alternativas de nuevos programas académicos pertinentes en la modalidad mixta</w:t>
      </w:r>
      <w:r w:rsidR="00481856" w:rsidRPr="003E7A82">
        <w:t xml:space="preserve"> </w:t>
      </w:r>
      <w:r w:rsidR="0083610C" w:rsidRPr="003E7A82">
        <w:t>(que combinan educación presencial y educación a distancia).</w:t>
      </w:r>
      <w:r w:rsidRPr="003E7A82">
        <w:t xml:space="preserve"> </w:t>
      </w:r>
    </w:p>
    <w:p w14:paraId="74ABB1A6" w14:textId="6FDE1019" w:rsidR="00125B8B" w:rsidRPr="003E7A82" w:rsidRDefault="00B315A8" w:rsidP="00E77F98">
      <w:pPr>
        <w:pStyle w:val="NormalWeb"/>
        <w:numPr>
          <w:ilvl w:val="0"/>
          <w:numId w:val="5"/>
        </w:numPr>
        <w:spacing w:before="40" w:beforeAutospacing="0" w:after="40" w:afterAutospacing="0" w:line="360" w:lineRule="auto"/>
        <w:jc w:val="both"/>
      </w:pPr>
      <w:r w:rsidRPr="003E7A82">
        <w:t>Fortalecer la infraestructura que favorece el logro educativo de los estudiantes, así como promover programas de acompañamiento y de incentivos para que los estudiantes concluyan satisfactoriamente sus estudios (2017, p.</w:t>
      </w:r>
      <w:r w:rsidR="00125B8B" w:rsidRPr="003E7A82">
        <w:t xml:space="preserve"> </w:t>
      </w:r>
      <w:r w:rsidRPr="003E7A82">
        <w:t>187)</w:t>
      </w:r>
      <w:r w:rsidR="00103BF2" w:rsidRPr="003E7A82">
        <w:t>.</w:t>
      </w:r>
    </w:p>
    <w:p w14:paraId="25DD715A" w14:textId="76F880C1" w:rsidR="00B315A8" w:rsidRPr="003E7A82" w:rsidRDefault="00B315A8" w:rsidP="00E77F98">
      <w:pPr>
        <w:pStyle w:val="NormalWeb"/>
        <w:spacing w:before="40" w:beforeAutospacing="0" w:after="40" w:afterAutospacing="0" w:line="360" w:lineRule="auto"/>
        <w:jc w:val="both"/>
      </w:pPr>
      <w:r w:rsidRPr="003E7A82">
        <w:t xml:space="preserve">Barajas y Orduz (2019) señalan que uno de los procesos que deben seguir las universidades para mejorar la calidad de la educación es a través de la gestión que se concibe como un proceso pertinente para operar correctamente y llevar a cabo procesos de </w:t>
      </w:r>
      <w:r w:rsidRPr="003E7A82">
        <w:rPr>
          <w:rStyle w:val="italica"/>
        </w:rPr>
        <w:t xml:space="preserve">docencia, investigación y extensión junto a los recursos financieros, humanos y físicos, con el objetivo de obtener resultados convenientes tanto para las instituciones como para la sociedad, con una </w:t>
      </w:r>
      <w:proofErr w:type="gramStart"/>
      <w:r w:rsidRPr="003E7A82">
        <w:rPr>
          <w:rStyle w:val="italica"/>
        </w:rPr>
        <w:t>óptica  de</w:t>
      </w:r>
      <w:proofErr w:type="gramEnd"/>
      <w:r w:rsidRPr="003E7A82">
        <w:rPr>
          <w:rStyle w:val="italica"/>
        </w:rPr>
        <w:t xml:space="preserve"> calidad y excelencia universitaria. Para ello, Casas (2016) propone cuatro momentos para llevar a cabo un cambio con el que se valide la gestión: diagnóstico, preparación, ejecución y mantenimiento. A partir de estos momentos, se puede generar una calidad educativa en el seguimiento de un proceso que contempla una </w:t>
      </w:r>
      <w:r w:rsidRPr="003E7A82">
        <w:t>gestión de cambio, un modelo de formación por competencias, con un personal docente calificado, mediador y comprometido, una formación crítica reflexiva centrada en el estudiante en donde el currículo se ajusta a las demandas internacionales que permiten la movilidad para una calidad educativa.</w:t>
      </w:r>
    </w:p>
    <w:p w14:paraId="37E9688F" w14:textId="77777777" w:rsidR="00E77F98" w:rsidRDefault="00E77F98" w:rsidP="00E77F98">
      <w:pPr>
        <w:spacing w:before="40" w:after="40" w:line="360" w:lineRule="auto"/>
        <w:jc w:val="center"/>
        <w:rPr>
          <w:rFonts w:ascii="Times New Roman" w:hAnsi="Times New Roman" w:cs="Times New Roman"/>
          <w:b/>
          <w:bCs/>
          <w:iCs/>
          <w:sz w:val="32"/>
          <w:szCs w:val="32"/>
        </w:rPr>
      </w:pPr>
    </w:p>
    <w:p w14:paraId="6881B23E" w14:textId="77777777" w:rsidR="006020CA" w:rsidRDefault="006020CA" w:rsidP="00E77F98">
      <w:pPr>
        <w:spacing w:before="40" w:after="40" w:line="360" w:lineRule="auto"/>
        <w:jc w:val="center"/>
        <w:rPr>
          <w:rFonts w:ascii="Times New Roman" w:hAnsi="Times New Roman" w:cs="Times New Roman"/>
          <w:b/>
          <w:bCs/>
          <w:iCs/>
          <w:sz w:val="32"/>
          <w:szCs w:val="32"/>
        </w:rPr>
      </w:pPr>
    </w:p>
    <w:p w14:paraId="26EA8CB0" w14:textId="0A1DE511" w:rsidR="00C74393" w:rsidRPr="00E77F98" w:rsidRDefault="00C74393" w:rsidP="00E77F98">
      <w:pPr>
        <w:spacing w:before="40" w:after="40" w:line="360" w:lineRule="auto"/>
        <w:jc w:val="center"/>
        <w:rPr>
          <w:rFonts w:ascii="Times New Roman" w:hAnsi="Times New Roman" w:cs="Times New Roman"/>
          <w:i/>
        </w:rPr>
      </w:pPr>
      <w:r w:rsidRPr="00E77F98">
        <w:rPr>
          <w:rFonts w:ascii="Times New Roman" w:hAnsi="Times New Roman" w:cs="Times New Roman"/>
          <w:b/>
          <w:bCs/>
          <w:iCs/>
          <w:sz w:val="28"/>
          <w:szCs w:val="28"/>
        </w:rPr>
        <w:t>Contenido</w:t>
      </w:r>
      <w:r w:rsidR="00234456" w:rsidRPr="00E77F98">
        <w:rPr>
          <w:rFonts w:ascii="Times New Roman" w:hAnsi="Times New Roman" w:cs="Times New Roman"/>
          <w:i/>
        </w:rPr>
        <w:t xml:space="preserve"> </w:t>
      </w:r>
    </w:p>
    <w:p w14:paraId="0F23F99B" w14:textId="0A88D63E" w:rsidR="00AE5F3F" w:rsidRPr="00E77F98" w:rsidRDefault="00AE5F3F" w:rsidP="00E77F98">
      <w:pPr>
        <w:spacing w:before="40" w:after="40" w:line="360" w:lineRule="auto"/>
        <w:jc w:val="center"/>
        <w:rPr>
          <w:rFonts w:ascii="Times New Roman" w:hAnsi="Times New Roman" w:cs="Times New Roman"/>
          <w:i/>
        </w:rPr>
      </w:pPr>
      <w:r w:rsidRPr="00E77F98">
        <w:rPr>
          <w:rFonts w:ascii="Times New Roman" w:hAnsi="Times New Roman" w:cs="Times New Roman"/>
          <w:b/>
          <w:bCs/>
          <w:iCs/>
          <w:sz w:val="24"/>
          <w:szCs w:val="24"/>
        </w:rPr>
        <w:t>Situación económica en México</w:t>
      </w:r>
      <w:r w:rsidR="00CD44C4" w:rsidRPr="00E77F98">
        <w:rPr>
          <w:rFonts w:ascii="Times New Roman" w:hAnsi="Times New Roman" w:cs="Times New Roman"/>
          <w:b/>
          <w:bCs/>
          <w:iCs/>
          <w:sz w:val="24"/>
          <w:szCs w:val="24"/>
        </w:rPr>
        <w:t xml:space="preserve"> y</w:t>
      </w:r>
      <w:r w:rsidR="003B5F2E" w:rsidRPr="00E77F98">
        <w:rPr>
          <w:rFonts w:ascii="Times New Roman" w:hAnsi="Times New Roman" w:cs="Times New Roman"/>
          <w:b/>
          <w:bCs/>
          <w:iCs/>
          <w:sz w:val="24"/>
          <w:szCs w:val="24"/>
        </w:rPr>
        <w:t xml:space="preserve"> </w:t>
      </w:r>
      <w:r w:rsidR="00417059" w:rsidRPr="00E77F98">
        <w:rPr>
          <w:rFonts w:ascii="Times New Roman" w:hAnsi="Times New Roman" w:cs="Times New Roman"/>
          <w:b/>
          <w:bCs/>
          <w:iCs/>
          <w:sz w:val="24"/>
          <w:szCs w:val="24"/>
        </w:rPr>
        <w:t>q</w:t>
      </w:r>
      <w:r w:rsidRPr="00E77F98">
        <w:rPr>
          <w:rFonts w:ascii="Times New Roman" w:hAnsi="Times New Roman" w:cs="Times New Roman"/>
          <w:b/>
          <w:bCs/>
          <w:iCs/>
          <w:sz w:val="24"/>
          <w:szCs w:val="24"/>
        </w:rPr>
        <w:t>u</w:t>
      </w:r>
      <w:r w:rsidR="0014660A">
        <w:rPr>
          <w:rFonts w:ascii="Times New Roman" w:hAnsi="Times New Roman" w:cs="Times New Roman"/>
          <w:b/>
          <w:bCs/>
          <w:iCs/>
          <w:sz w:val="24"/>
          <w:szCs w:val="24"/>
        </w:rPr>
        <w:t>é</w:t>
      </w:r>
      <w:r w:rsidRPr="00E77F98">
        <w:rPr>
          <w:rFonts w:ascii="Times New Roman" w:hAnsi="Times New Roman" w:cs="Times New Roman"/>
          <w:b/>
          <w:bCs/>
          <w:iCs/>
          <w:sz w:val="24"/>
          <w:szCs w:val="24"/>
        </w:rPr>
        <w:t xml:space="preserve"> demanda de sus profesionistas</w:t>
      </w:r>
    </w:p>
    <w:p w14:paraId="50815B9F" w14:textId="2FD2B6BB" w:rsidR="003D4A57" w:rsidRPr="003E7A82" w:rsidRDefault="006C700D"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De acuerdo con el</w:t>
      </w:r>
      <w:r w:rsidR="009F578B" w:rsidRPr="003E7A82">
        <w:rPr>
          <w:rFonts w:ascii="Times New Roman" w:hAnsi="Times New Roman" w:cs="Times New Roman"/>
          <w:iCs/>
          <w:sz w:val="24"/>
          <w:szCs w:val="24"/>
        </w:rPr>
        <w:t xml:space="preserve"> Banco Mundial</w:t>
      </w:r>
      <w:r w:rsidR="00404E39" w:rsidRPr="003E7A82">
        <w:rPr>
          <w:rFonts w:ascii="Times New Roman" w:hAnsi="Times New Roman" w:cs="Times New Roman"/>
          <w:iCs/>
          <w:sz w:val="24"/>
          <w:szCs w:val="24"/>
        </w:rPr>
        <w:t>,</w:t>
      </w:r>
      <w:r w:rsidR="009F578B" w:rsidRPr="003E7A82">
        <w:rPr>
          <w:rFonts w:ascii="Times New Roman" w:hAnsi="Times New Roman" w:cs="Times New Roman"/>
          <w:iCs/>
          <w:sz w:val="24"/>
          <w:szCs w:val="24"/>
        </w:rPr>
        <w:t xml:space="preserve"> </w:t>
      </w:r>
      <w:r w:rsidR="00612704" w:rsidRPr="003E7A82">
        <w:rPr>
          <w:rFonts w:ascii="Times New Roman" w:hAnsi="Times New Roman" w:cs="Times New Roman"/>
          <w:iCs/>
          <w:sz w:val="24"/>
          <w:szCs w:val="24"/>
        </w:rPr>
        <w:t xml:space="preserve">México es una de las quince economías más grandes del mundo, </w:t>
      </w:r>
      <w:r w:rsidR="00404E39" w:rsidRPr="003E7A82">
        <w:rPr>
          <w:rFonts w:ascii="Times New Roman" w:hAnsi="Times New Roman" w:cs="Times New Roman"/>
          <w:iCs/>
          <w:sz w:val="24"/>
          <w:szCs w:val="24"/>
        </w:rPr>
        <w:t xml:space="preserve">y </w:t>
      </w:r>
      <w:r w:rsidR="00612704" w:rsidRPr="003E7A82">
        <w:rPr>
          <w:rFonts w:ascii="Times New Roman" w:hAnsi="Times New Roman" w:cs="Times New Roman"/>
          <w:iCs/>
          <w:sz w:val="24"/>
          <w:szCs w:val="24"/>
        </w:rPr>
        <w:t>la segunda de América Latina</w:t>
      </w:r>
      <w:r w:rsidR="003C435B"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Si bien p</w:t>
      </w:r>
      <w:r w:rsidR="00277394" w:rsidRPr="003E7A82">
        <w:rPr>
          <w:rFonts w:ascii="Times New Roman" w:hAnsi="Times New Roman" w:cs="Times New Roman"/>
          <w:iCs/>
          <w:sz w:val="24"/>
          <w:szCs w:val="24"/>
        </w:rPr>
        <w:t xml:space="preserve">osee </w:t>
      </w:r>
      <w:r w:rsidR="003D4A57" w:rsidRPr="003E7A82">
        <w:rPr>
          <w:rFonts w:ascii="Times New Roman" w:hAnsi="Times New Roman" w:cs="Times New Roman"/>
          <w:iCs/>
          <w:sz w:val="24"/>
          <w:szCs w:val="24"/>
        </w:rPr>
        <w:t xml:space="preserve">una </w:t>
      </w:r>
      <w:r w:rsidR="00277394" w:rsidRPr="003E7A82">
        <w:rPr>
          <w:rFonts w:ascii="Times New Roman" w:hAnsi="Times New Roman" w:cs="Times New Roman"/>
          <w:iCs/>
          <w:sz w:val="24"/>
          <w:szCs w:val="24"/>
        </w:rPr>
        <w:t xml:space="preserve">localización </w:t>
      </w:r>
      <w:r w:rsidR="003D4A57" w:rsidRPr="003E7A82">
        <w:rPr>
          <w:rFonts w:ascii="Times New Roman" w:hAnsi="Times New Roman" w:cs="Times New Roman"/>
          <w:iCs/>
          <w:sz w:val="24"/>
          <w:szCs w:val="24"/>
        </w:rPr>
        <w:t>geogr</w:t>
      </w:r>
      <w:r w:rsidR="00277394" w:rsidRPr="003E7A82">
        <w:rPr>
          <w:rFonts w:ascii="Times New Roman" w:hAnsi="Times New Roman" w:cs="Times New Roman"/>
          <w:iCs/>
          <w:sz w:val="24"/>
          <w:szCs w:val="24"/>
        </w:rPr>
        <w:t>á</w:t>
      </w:r>
      <w:r w:rsidR="003D4A57" w:rsidRPr="003E7A82">
        <w:rPr>
          <w:rFonts w:ascii="Times New Roman" w:hAnsi="Times New Roman" w:cs="Times New Roman"/>
          <w:iCs/>
          <w:sz w:val="24"/>
          <w:szCs w:val="24"/>
        </w:rPr>
        <w:t>f</w:t>
      </w:r>
      <w:r w:rsidR="00277394" w:rsidRPr="003E7A82">
        <w:rPr>
          <w:rFonts w:ascii="Times New Roman" w:hAnsi="Times New Roman" w:cs="Times New Roman"/>
          <w:iCs/>
          <w:sz w:val="24"/>
          <w:szCs w:val="24"/>
        </w:rPr>
        <w:t>ic</w:t>
      </w:r>
      <w:r w:rsidR="003D4A57" w:rsidRPr="003E7A82">
        <w:rPr>
          <w:rFonts w:ascii="Times New Roman" w:hAnsi="Times New Roman" w:cs="Times New Roman"/>
          <w:iCs/>
          <w:sz w:val="24"/>
          <w:szCs w:val="24"/>
        </w:rPr>
        <w:t xml:space="preserve">a </w:t>
      </w:r>
      <w:r w:rsidR="00A333B1" w:rsidRPr="003E7A82">
        <w:rPr>
          <w:rFonts w:ascii="Times New Roman" w:hAnsi="Times New Roman" w:cs="Times New Roman"/>
          <w:iCs/>
          <w:sz w:val="24"/>
          <w:szCs w:val="24"/>
        </w:rPr>
        <w:t xml:space="preserve">ventajosa y </w:t>
      </w:r>
      <w:r w:rsidR="003D4A57" w:rsidRPr="003E7A82">
        <w:rPr>
          <w:rFonts w:ascii="Times New Roman" w:hAnsi="Times New Roman" w:cs="Times New Roman"/>
          <w:iCs/>
          <w:sz w:val="24"/>
          <w:szCs w:val="24"/>
        </w:rPr>
        <w:t>recursos naturales</w:t>
      </w:r>
      <w:r w:rsidR="002E2B0D" w:rsidRPr="003E7A82">
        <w:rPr>
          <w:rFonts w:ascii="Times New Roman" w:hAnsi="Times New Roman" w:cs="Times New Roman"/>
          <w:iCs/>
          <w:sz w:val="24"/>
          <w:szCs w:val="24"/>
        </w:rPr>
        <w:t xml:space="preserve"> </w:t>
      </w:r>
      <w:r w:rsidR="00186FEA" w:rsidRPr="003E7A82">
        <w:rPr>
          <w:rFonts w:ascii="Times New Roman" w:hAnsi="Times New Roman" w:cs="Times New Roman"/>
          <w:iCs/>
          <w:sz w:val="24"/>
          <w:szCs w:val="24"/>
        </w:rPr>
        <w:t>en</w:t>
      </w:r>
      <w:r w:rsidR="00E67305" w:rsidRPr="003E7A82">
        <w:rPr>
          <w:rFonts w:ascii="Times New Roman" w:hAnsi="Times New Roman" w:cs="Times New Roman"/>
          <w:iCs/>
          <w:sz w:val="24"/>
          <w:szCs w:val="24"/>
        </w:rPr>
        <w:t xml:space="preserve"> </w:t>
      </w:r>
      <w:r w:rsidR="00213D0E" w:rsidRPr="003E7A82">
        <w:rPr>
          <w:rFonts w:ascii="Times New Roman" w:hAnsi="Times New Roman" w:cs="Times New Roman"/>
          <w:iCs/>
          <w:sz w:val="24"/>
          <w:szCs w:val="24"/>
        </w:rPr>
        <w:t>suficie</w:t>
      </w:r>
      <w:r w:rsidR="00186FEA" w:rsidRPr="003E7A82">
        <w:rPr>
          <w:rFonts w:ascii="Times New Roman" w:hAnsi="Times New Roman" w:cs="Times New Roman"/>
          <w:iCs/>
          <w:sz w:val="24"/>
          <w:szCs w:val="24"/>
        </w:rPr>
        <w:t>n</w:t>
      </w:r>
      <w:r w:rsidR="00E67305" w:rsidRPr="003E7A82">
        <w:rPr>
          <w:rFonts w:ascii="Times New Roman" w:hAnsi="Times New Roman" w:cs="Times New Roman"/>
          <w:iCs/>
          <w:sz w:val="24"/>
          <w:szCs w:val="24"/>
        </w:rPr>
        <w:t>cia</w:t>
      </w:r>
      <w:r w:rsidR="00186FEA" w:rsidRPr="003E7A82">
        <w:rPr>
          <w:rFonts w:ascii="Times New Roman" w:hAnsi="Times New Roman" w:cs="Times New Roman"/>
          <w:iCs/>
          <w:sz w:val="24"/>
          <w:szCs w:val="24"/>
        </w:rPr>
        <w:t>, su</w:t>
      </w:r>
      <w:r w:rsidR="003C12D5" w:rsidRPr="003E7A82">
        <w:rPr>
          <w:rFonts w:ascii="Times New Roman" w:hAnsi="Times New Roman" w:cs="Times New Roman"/>
          <w:iCs/>
          <w:sz w:val="24"/>
          <w:szCs w:val="24"/>
        </w:rPr>
        <w:t xml:space="preserve"> población cercana a los 130 millones de habitantes</w:t>
      </w:r>
      <w:r w:rsidR="00597545" w:rsidRPr="003E7A82">
        <w:rPr>
          <w:rFonts w:ascii="Times New Roman" w:hAnsi="Times New Roman" w:cs="Times New Roman"/>
          <w:iCs/>
          <w:sz w:val="24"/>
          <w:szCs w:val="24"/>
        </w:rPr>
        <w:t xml:space="preserve"> enfrenta al bono demográfic</w:t>
      </w:r>
      <w:r w:rsidR="00692D6A" w:rsidRPr="003E7A82">
        <w:rPr>
          <w:rFonts w:ascii="Times New Roman" w:hAnsi="Times New Roman" w:cs="Times New Roman"/>
          <w:iCs/>
          <w:sz w:val="24"/>
          <w:szCs w:val="24"/>
        </w:rPr>
        <w:t>o</w:t>
      </w:r>
      <w:r w:rsidR="00597545" w:rsidRPr="003E7A82">
        <w:rPr>
          <w:rFonts w:ascii="Times New Roman" w:hAnsi="Times New Roman" w:cs="Times New Roman"/>
          <w:iCs/>
          <w:sz w:val="24"/>
          <w:szCs w:val="24"/>
        </w:rPr>
        <w:t xml:space="preserve">. </w:t>
      </w:r>
      <w:r w:rsidR="00C2042F" w:rsidRPr="003E7A82">
        <w:rPr>
          <w:rFonts w:ascii="Times New Roman" w:hAnsi="Times New Roman" w:cs="Times New Roman"/>
          <w:iCs/>
          <w:sz w:val="24"/>
          <w:szCs w:val="24"/>
        </w:rPr>
        <w:t>A su favor</w:t>
      </w:r>
      <w:r w:rsidR="003C12D5" w:rsidRPr="003E7A82">
        <w:rPr>
          <w:rFonts w:ascii="Times New Roman" w:hAnsi="Times New Roman" w:cs="Times New Roman"/>
          <w:iCs/>
          <w:sz w:val="24"/>
          <w:szCs w:val="24"/>
        </w:rPr>
        <w:t>,</w:t>
      </w:r>
      <w:r w:rsidR="00C2042F" w:rsidRPr="003E7A82">
        <w:rPr>
          <w:rFonts w:ascii="Times New Roman" w:hAnsi="Times New Roman" w:cs="Times New Roman"/>
          <w:iCs/>
          <w:sz w:val="24"/>
          <w:szCs w:val="24"/>
        </w:rPr>
        <w:t xml:space="preserve"> goza</w:t>
      </w:r>
      <w:r w:rsidR="003C12D5" w:rsidRPr="003E7A82">
        <w:rPr>
          <w:rFonts w:ascii="Times New Roman" w:hAnsi="Times New Roman" w:cs="Times New Roman"/>
          <w:iCs/>
          <w:sz w:val="24"/>
          <w:szCs w:val="24"/>
        </w:rPr>
        <w:t xml:space="preserve"> </w:t>
      </w:r>
      <w:r w:rsidR="00C2042F" w:rsidRPr="003E7A82">
        <w:rPr>
          <w:rFonts w:ascii="Times New Roman" w:hAnsi="Times New Roman" w:cs="Times New Roman"/>
          <w:iCs/>
          <w:sz w:val="24"/>
          <w:szCs w:val="24"/>
        </w:rPr>
        <w:t xml:space="preserve">de </w:t>
      </w:r>
      <w:r w:rsidR="003C12D5" w:rsidRPr="003E7A82">
        <w:rPr>
          <w:rFonts w:ascii="Times New Roman" w:hAnsi="Times New Roman" w:cs="Times New Roman"/>
          <w:iCs/>
          <w:sz w:val="24"/>
          <w:szCs w:val="24"/>
        </w:rPr>
        <w:t xml:space="preserve">una </w:t>
      </w:r>
      <w:r w:rsidR="00C2042F" w:rsidRPr="003E7A82">
        <w:rPr>
          <w:rFonts w:ascii="Times New Roman" w:hAnsi="Times New Roman" w:cs="Times New Roman"/>
          <w:iCs/>
          <w:sz w:val="24"/>
          <w:szCs w:val="24"/>
        </w:rPr>
        <w:t xml:space="preserve">diversidad </w:t>
      </w:r>
      <w:r w:rsidR="003C12D5" w:rsidRPr="003E7A82">
        <w:rPr>
          <w:rFonts w:ascii="Times New Roman" w:hAnsi="Times New Roman" w:cs="Times New Roman"/>
          <w:iCs/>
          <w:sz w:val="24"/>
          <w:szCs w:val="24"/>
        </w:rPr>
        <w:t xml:space="preserve">cultural y </w:t>
      </w:r>
      <w:r w:rsidR="00911E9C" w:rsidRPr="003E7A82">
        <w:rPr>
          <w:rFonts w:ascii="Times New Roman" w:hAnsi="Times New Roman" w:cs="Times New Roman"/>
          <w:iCs/>
          <w:sz w:val="24"/>
          <w:szCs w:val="24"/>
        </w:rPr>
        <w:t xml:space="preserve">cuenta </w:t>
      </w:r>
      <w:r w:rsidR="00404E39" w:rsidRPr="003E7A82">
        <w:rPr>
          <w:rFonts w:ascii="Times New Roman" w:hAnsi="Times New Roman" w:cs="Times New Roman"/>
          <w:iCs/>
          <w:sz w:val="24"/>
          <w:szCs w:val="24"/>
        </w:rPr>
        <w:t xml:space="preserve">asimismo </w:t>
      </w:r>
      <w:r w:rsidR="00911E9C" w:rsidRPr="003E7A82">
        <w:rPr>
          <w:rFonts w:ascii="Times New Roman" w:hAnsi="Times New Roman" w:cs="Times New Roman"/>
          <w:iCs/>
          <w:sz w:val="24"/>
          <w:szCs w:val="24"/>
        </w:rPr>
        <w:t>con</w:t>
      </w:r>
      <w:r w:rsidR="003D4A57" w:rsidRPr="003E7A82">
        <w:rPr>
          <w:rFonts w:ascii="Times New Roman" w:hAnsi="Times New Roman" w:cs="Times New Roman"/>
          <w:iCs/>
          <w:sz w:val="24"/>
          <w:szCs w:val="24"/>
        </w:rPr>
        <w:t xml:space="preserve"> instituciones macroeconómicas sólidas,</w:t>
      </w:r>
      <w:r w:rsidR="00A644D2" w:rsidRPr="003E7A82">
        <w:rPr>
          <w:rFonts w:ascii="Times New Roman" w:hAnsi="Times New Roman" w:cs="Times New Roman"/>
          <w:iCs/>
          <w:sz w:val="24"/>
          <w:szCs w:val="24"/>
        </w:rPr>
        <w:t xml:space="preserve"> forma parte del Tratado de Libre Comercio </w:t>
      </w:r>
      <w:r w:rsidR="004866AB" w:rsidRPr="003E7A82">
        <w:rPr>
          <w:rFonts w:ascii="Times New Roman" w:hAnsi="Times New Roman" w:cs="Times New Roman"/>
          <w:iCs/>
          <w:sz w:val="24"/>
          <w:szCs w:val="24"/>
        </w:rPr>
        <w:t xml:space="preserve">con los Estados Unidos y Canadá, así </w:t>
      </w:r>
      <w:r w:rsidR="005F7F09" w:rsidRPr="0014660A">
        <w:rPr>
          <w:rFonts w:ascii="Times New Roman" w:hAnsi="Times New Roman" w:cs="Times New Roman"/>
          <w:iCs/>
          <w:sz w:val="24"/>
          <w:szCs w:val="24"/>
        </w:rPr>
        <w:t>mismo</w:t>
      </w:r>
      <w:r w:rsidR="005F7F09" w:rsidRPr="003E7A82">
        <w:rPr>
          <w:rFonts w:ascii="Times New Roman" w:hAnsi="Times New Roman" w:cs="Times New Roman"/>
          <w:iCs/>
          <w:sz w:val="24"/>
          <w:szCs w:val="24"/>
        </w:rPr>
        <w:t xml:space="preserve"> </w:t>
      </w:r>
      <w:r w:rsidR="00060AD9" w:rsidRPr="003E7A82">
        <w:rPr>
          <w:rFonts w:ascii="Times New Roman" w:hAnsi="Times New Roman" w:cs="Times New Roman"/>
          <w:iCs/>
          <w:sz w:val="24"/>
          <w:szCs w:val="24"/>
        </w:rPr>
        <w:t>ostenta</w:t>
      </w:r>
      <w:r w:rsidR="004866AB" w:rsidRPr="003E7A82">
        <w:rPr>
          <w:rFonts w:ascii="Times New Roman" w:hAnsi="Times New Roman" w:cs="Times New Roman"/>
          <w:iCs/>
          <w:sz w:val="24"/>
          <w:szCs w:val="24"/>
        </w:rPr>
        <w:t xml:space="preserve"> </w:t>
      </w:r>
      <w:r w:rsidR="007C0DA4" w:rsidRPr="003E7A82">
        <w:rPr>
          <w:rFonts w:ascii="Times New Roman" w:hAnsi="Times New Roman" w:cs="Times New Roman"/>
          <w:iCs/>
          <w:sz w:val="24"/>
          <w:szCs w:val="24"/>
        </w:rPr>
        <w:t xml:space="preserve">una </w:t>
      </w:r>
      <w:r w:rsidR="00A041F7" w:rsidRPr="003E7A82">
        <w:rPr>
          <w:rFonts w:ascii="Times New Roman" w:hAnsi="Times New Roman" w:cs="Times New Roman"/>
          <w:iCs/>
          <w:sz w:val="24"/>
          <w:szCs w:val="24"/>
        </w:rPr>
        <w:t xml:space="preserve">base industrial </w:t>
      </w:r>
      <w:r w:rsidR="00F52F77" w:rsidRPr="003E7A82">
        <w:rPr>
          <w:rFonts w:ascii="Times New Roman" w:hAnsi="Times New Roman" w:cs="Times New Roman"/>
          <w:iCs/>
          <w:sz w:val="24"/>
          <w:szCs w:val="24"/>
        </w:rPr>
        <w:t>firme</w:t>
      </w:r>
      <w:r w:rsidR="004866AB" w:rsidRPr="003E7A82">
        <w:rPr>
          <w:rFonts w:ascii="Times New Roman" w:hAnsi="Times New Roman" w:cs="Times New Roman"/>
          <w:iCs/>
          <w:sz w:val="24"/>
          <w:szCs w:val="24"/>
        </w:rPr>
        <w:t xml:space="preserve"> </w:t>
      </w:r>
      <w:r w:rsidR="008C6A68" w:rsidRPr="003E7A82">
        <w:rPr>
          <w:rFonts w:ascii="Times New Roman" w:hAnsi="Times New Roman" w:cs="Times New Roman"/>
          <w:iCs/>
          <w:sz w:val="24"/>
          <w:szCs w:val="24"/>
        </w:rPr>
        <w:t xml:space="preserve">y </w:t>
      </w:r>
      <w:r w:rsidR="003D4A57" w:rsidRPr="003E7A82">
        <w:rPr>
          <w:rFonts w:ascii="Times New Roman" w:hAnsi="Times New Roman" w:cs="Times New Roman"/>
          <w:iCs/>
          <w:sz w:val="24"/>
          <w:szCs w:val="24"/>
        </w:rPr>
        <w:t xml:space="preserve">diversificada </w:t>
      </w:r>
      <w:r w:rsidR="008C6A68" w:rsidRPr="003E7A82">
        <w:rPr>
          <w:rFonts w:ascii="Times New Roman" w:hAnsi="Times New Roman" w:cs="Times New Roman"/>
          <w:iCs/>
          <w:sz w:val="24"/>
          <w:szCs w:val="24"/>
        </w:rPr>
        <w:t xml:space="preserve">en sectores como el automotriz, </w:t>
      </w:r>
      <w:r w:rsidR="003A42CC" w:rsidRPr="003E7A82">
        <w:rPr>
          <w:rFonts w:ascii="Times New Roman" w:hAnsi="Times New Roman" w:cs="Times New Roman"/>
          <w:iCs/>
          <w:sz w:val="24"/>
          <w:szCs w:val="24"/>
        </w:rPr>
        <w:t xml:space="preserve">el manufacturero y </w:t>
      </w:r>
      <w:r w:rsidR="0087631D" w:rsidRPr="003E7A82">
        <w:rPr>
          <w:rFonts w:ascii="Times New Roman" w:hAnsi="Times New Roman" w:cs="Times New Roman"/>
          <w:iCs/>
          <w:sz w:val="24"/>
          <w:szCs w:val="24"/>
        </w:rPr>
        <w:t xml:space="preserve">el </w:t>
      </w:r>
      <w:r w:rsidR="009B6907" w:rsidRPr="003E7A82">
        <w:rPr>
          <w:rFonts w:ascii="Times New Roman" w:hAnsi="Times New Roman" w:cs="Times New Roman"/>
          <w:iCs/>
          <w:sz w:val="24"/>
          <w:szCs w:val="24"/>
        </w:rPr>
        <w:t>electrónico</w:t>
      </w:r>
      <w:r w:rsidR="00692D6A" w:rsidRPr="003E7A82">
        <w:rPr>
          <w:rFonts w:ascii="Times New Roman" w:hAnsi="Times New Roman" w:cs="Times New Roman"/>
          <w:iCs/>
          <w:sz w:val="24"/>
          <w:szCs w:val="24"/>
        </w:rPr>
        <w:t xml:space="preserve"> (Banco Mundial, 2023)</w:t>
      </w:r>
      <w:r w:rsidR="007C0DA4" w:rsidRPr="003E7A82">
        <w:rPr>
          <w:rFonts w:ascii="Times New Roman" w:hAnsi="Times New Roman" w:cs="Times New Roman"/>
          <w:iCs/>
          <w:sz w:val="24"/>
          <w:szCs w:val="24"/>
        </w:rPr>
        <w:t>.</w:t>
      </w:r>
    </w:p>
    <w:p w14:paraId="0348F89B" w14:textId="315CC164" w:rsidR="003D4A57" w:rsidRPr="003E7A82" w:rsidRDefault="003D4A57"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Durante las últimas tres décadas, México ha tenido un desempeño por debajo de lo esperado en términos de crecimiento, inclusión y reducción de la pobreza en comparación con países similares. La economía tuvo un crecimiento estimado en poco más del 2.0</w:t>
      </w:r>
      <w:r w:rsidR="004C036A"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anual entre 1980 y 2022, lo que limita el progreso en la convergencia en relación con las economías de altos ingresos.</w:t>
      </w:r>
    </w:p>
    <w:p w14:paraId="46924FA9" w14:textId="5805B0C2" w:rsidR="003D4A57" w:rsidRPr="003E7A82" w:rsidRDefault="003D4A57"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La economía mexicana creció 3.1% en 2022, tras un repunte de 4.7% en 2021 después de una caída de 8.0% en 2020 debido a la pandemia de COVID-19. La economía ha recuperado los niveles de empleo y de Producto Interno Bruto (PIB) previos a la pandemia</w:t>
      </w:r>
      <w:r w:rsidR="00A55916"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El marco macroeconómico estable de México, el dinamismo de Estados Unidos y la sólida base manufacturera respaldarán el crecimiento económico.</w:t>
      </w:r>
    </w:p>
    <w:p w14:paraId="5E2D9ECD" w14:textId="77777777" w:rsidR="00E77F98" w:rsidRDefault="003D4A57"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Para acelerar el crecimiento económico sostenible y la reducción de la pobreza en el </w:t>
      </w:r>
      <w:r w:rsidR="00312871" w:rsidRPr="003E7A82">
        <w:rPr>
          <w:rFonts w:ascii="Times New Roman" w:hAnsi="Times New Roman" w:cs="Times New Roman"/>
          <w:iCs/>
          <w:sz w:val="24"/>
          <w:szCs w:val="24"/>
        </w:rPr>
        <w:t>mediano plazo, México debe consider</w:t>
      </w:r>
      <w:r w:rsidR="00852E02" w:rsidRPr="003E7A82">
        <w:rPr>
          <w:rFonts w:ascii="Times New Roman" w:hAnsi="Times New Roman" w:cs="Times New Roman"/>
          <w:iCs/>
          <w:sz w:val="24"/>
          <w:szCs w:val="24"/>
        </w:rPr>
        <w:t>ar</w:t>
      </w:r>
      <w:r w:rsidR="00312871"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 xml:space="preserve">limitaciones estructurales, como </w:t>
      </w:r>
      <w:r w:rsidR="00852E02" w:rsidRPr="003E7A82">
        <w:rPr>
          <w:rFonts w:ascii="Times New Roman" w:hAnsi="Times New Roman" w:cs="Times New Roman"/>
          <w:iCs/>
          <w:sz w:val="24"/>
          <w:szCs w:val="24"/>
        </w:rPr>
        <w:t>las d</w:t>
      </w:r>
      <w:r w:rsidRPr="003E7A82">
        <w:rPr>
          <w:rFonts w:ascii="Times New Roman" w:hAnsi="Times New Roman" w:cs="Times New Roman"/>
          <w:iCs/>
          <w:sz w:val="24"/>
          <w:szCs w:val="24"/>
        </w:rPr>
        <w:t xml:space="preserve">el acceso limitado a las finanzas, la inseguridad, la informalidad, las cargas regulatorias y los cuellos de botella en infraestructura. Abordar estos desafíos es fundamental para aprovechar al máximo la oportunidad que representa el </w:t>
      </w:r>
      <w:proofErr w:type="spellStart"/>
      <w:r w:rsidRPr="003E7A82">
        <w:rPr>
          <w:rFonts w:ascii="Times New Roman" w:hAnsi="Times New Roman" w:cs="Times New Roman"/>
          <w:i/>
          <w:iCs/>
          <w:sz w:val="24"/>
          <w:szCs w:val="24"/>
        </w:rPr>
        <w:t>nearshoring</w:t>
      </w:r>
      <w:proofErr w:type="spellEnd"/>
      <w:r w:rsidRPr="003E7A82">
        <w:rPr>
          <w:rFonts w:ascii="Times New Roman" w:hAnsi="Times New Roman" w:cs="Times New Roman"/>
          <w:iCs/>
          <w:sz w:val="24"/>
          <w:szCs w:val="24"/>
        </w:rPr>
        <w:t xml:space="preserve"> </w:t>
      </w:r>
      <w:r w:rsidR="00A03EED" w:rsidRPr="003E7A82">
        <w:rPr>
          <w:rFonts w:ascii="Times New Roman" w:hAnsi="Times New Roman" w:cs="Times New Roman"/>
          <w:iCs/>
          <w:sz w:val="24"/>
          <w:szCs w:val="24"/>
        </w:rPr>
        <w:t xml:space="preserve">o la búsqueda de una mejor ubicación de los medios de producción para disminuir </w:t>
      </w:r>
      <w:r w:rsidR="003175B9" w:rsidRPr="003E7A82">
        <w:rPr>
          <w:rFonts w:ascii="Times New Roman" w:hAnsi="Times New Roman" w:cs="Times New Roman"/>
          <w:iCs/>
          <w:sz w:val="24"/>
          <w:szCs w:val="24"/>
        </w:rPr>
        <w:t xml:space="preserve">tanto </w:t>
      </w:r>
      <w:r w:rsidR="00A03EED" w:rsidRPr="003E7A82">
        <w:rPr>
          <w:rFonts w:ascii="Times New Roman" w:hAnsi="Times New Roman" w:cs="Times New Roman"/>
          <w:iCs/>
          <w:sz w:val="24"/>
          <w:szCs w:val="24"/>
        </w:rPr>
        <w:t>costos de transport</w:t>
      </w:r>
      <w:r w:rsidR="00414D5D" w:rsidRPr="003E7A82">
        <w:rPr>
          <w:rFonts w:ascii="Times New Roman" w:hAnsi="Times New Roman" w:cs="Times New Roman"/>
          <w:iCs/>
          <w:sz w:val="24"/>
          <w:szCs w:val="24"/>
        </w:rPr>
        <w:t>e</w:t>
      </w:r>
      <w:r w:rsidR="003175B9" w:rsidRPr="003E7A82">
        <w:rPr>
          <w:rFonts w:ascii="Times New Roman" w:hAnsi="Times New Roman" w:cs="Times New Roman"/>
          <w:iCs/>
          <w:sz w:val="24"/>
          <w:szCs w:val="24"/>
        </w:rPr>
        <w:t xml:space="preserve"> como</w:t>
      </w:r>
      <w:r w:rsidR="00A03EED" w:rsidRPr="003E7A82">
        <w:rPr>
          <w:rFonts w:ascii="Times New Roman" w:hAnsi="Times New Roman" w:cs="Times New Roman"/>
          <w:iCs/>
          <w:sz w:val="24"/>
          <w:szCs w:val="24"/>
        </w:rPr>
        <w:t xml:space="preserve"> fiscales</w:t>
      </w:r>
      <w:r w:rsidR="00EF18DC" w:rsidRPr="003E7A82">
        <w:rPr>
          <w:rFonts w:ascii="Times New Roman" w:hAnsi="Times New Roman" w:cs="Times New Roman"/>
          <w:iCs/>
          <w:sz w:val="24"/>
          <w:szCs w:val="24"/>
        </w:rPr>
        <w:t>.</w:t>
      </w:r>
      <w:r w:rsidR="00A03EED" w:rsidRPr="003E7A82">
        <w:rPr>
          <w:rFonts w:ascii="Times New Roman" w:hAnsi="Times New Roman" w:cs="Times New Roman"/>
          <w:iCs/>
          <w:sz w:val="24"/>
          <w:szCs w:val="24"/>
        </w:rPr>
        <w:t xml:space="preserve"> </w:t>
      </w:r>
      <w:r w:rsidR="000D5D81" w:rsidRPr="003E7A82">
        <w:rPr>
          <w:rFonts w:ascii="Times New Roman" w:hAnsi="Times New Roman" w:cs="Times New Roman"/>
          <w:iCs/>
          <w:sz w:val="24"/>
          <w:szCs w:val="24"/>
        </w:rPr>
        <w:t xml:space="preserve">Para el </w:t>
      </w:r>
      <w:r w:rsidR="004662EC" w:rsidRPr="003E7A82">
        <w:rPr>
          <w:rFonts w:ascii="Times New Roman" w:hAnsi="Times New Roman" w:cs="Times New Roman"/>
          <w:iCs/>
          <w:sz w:val="24"/>
          <w:szCs w:val="24"/>
        </w:rPr>
        <w:t>cumplimiento de dichas metas, se</w:t>
      </w:r>
      <w:r w:rsidR="000D5D81" w:rsidRPr="003E7A82">
        <w:rPr>
          <w:rFonts w:ascii="Times New Roman" w:hAnsi="Times New Roman" w:cs="Times New Roman"/>
          <w:iCs/>
          <w:sz w:val="24"/>
          <w:szCs w:val="24"/>
        </w:rPr>
        <w:t xml:space="preserve"> requ</w:t>
      </w:r>
      <w:r w:rsidR="004662EC" w:rsidRPr="003E7A82">
        <w:rPr>
          <w:rFonts w:ascii="Times New Roman" w:hAnsi="Times New Roman" w:cs="Times New Roman"/>
          <w:iCs/>
          <w:sz w:val="24"/>
          <w:szCs w:val="24"/>
        </w:rPr>
        <w:t>iere</w:t>
      </w:r>
      <w:r w:rsidR="000D5D81" w:rsidRPr="003E7A82">
        <w:rPr>
          <w:rFonts w:ascii="Times New Roman" w:hAnsi="Times New Roman" w:cs="Times New Roman"/>
          <w:iCs/>
          <w:sz w:val="24"/>
          <w:szCs w:val="24"/>
        </w:rPr>
        <w:t xml:space="preserve"> de una adecuada preparación de los estudiantes en las universidades, que </w:t>
      </w:r>
      <w:r w:rsidR="008446C8" w:rsidRPr="003E7A82">
        <w:rPr>
          <w:rFonts w:ascii="Times New Roman" w:hAnsi="Times New Roman" w:cs="Times New Roman"/>
          <w:iCs/>
          <w:sz w:val="24"/>
          <w:szCs w:val="24"/>
        </w:rPr>
        <w:t>según</w:t>
      </w:r>
      <w:r w:rsidR="000D5D81" w:rsidRPr="003E7A82">
        <w:rPr>
          <w:rFonts w:ascii="Times New Roman" w:hAnsi="Times New Roman" w:cs="Times New Roman"/>
          <w:iCs/>
          <w:sz w:val="24"/>
          <w:szCs w:val="24"/>
        </w:rPr>
        <w:t xml:space="preserve"> Gutiérrez (1999) se debe dar bajo relaciones plausibles entre la educación, el mercado de trabajo y la correcta orientación educativa</w:t>
      </w:r>
      <w:r w:rsidR="00EB5406" w:rsidRPr="003E7A82">
        <w:rPr>
          <w:rFonts w:ascii="Times New Roman" w:hAnsi="Times New Roman" w:cs="Times New Roman"/>
          <w:iCs/>
          <w:sz w:val="24"/>
          <w:szCs w:val="24"/>
        </w:rPr>
        <w:t xml:space="preserve">. Para ello, hay necesidad de interrelacionar aspectos relativos a </w:t>
      </w:r>
      <w:r w:rsidR="002C5B0D" w:rsidRPr="003E7A82">
        <w:rPr>
          <w:rFonts w:ascii="Times New Roman" w:hAnsi="Times New Roman" w:cs="Times New Roman"/>
          <w:iCs/>
          <w:sz w:val="24"/>
          <w:szCs w:val="24"/>
        </w:rPr>
        <w:t xml:space="preserve">la </w:t>
      </w:r>
      <w:r w:rsidR="000D5D81" w:rsidRPr="003E7A82">
        <w:rPr>
          <w:rFonts w:ascii="Times New Roman" w:hAnsi="Times New Roman" w:cs="Times New Roman"/>
          <w:iCs/>
          <w:sz w:val="24"/>
          <w:szCs w:val="24"/>
        </w:rPr>
        <w:t xml:space="preserve">educación, </w:t>
      </w:r>
      <w:r w:rsidR="00EB5406" w:rsidRPr="003E7A82">
        <w:rPr>
          <w:rFonts w:ascii="Times New Roman" w:hAnsi="Times New Roman" w:cs="Times New Roman"/>
          <w:iCs/>
          <w:sz w:val="24"/>
          <w:szCs w:val="24"/>
        </w:rPr>
        <w:t xml:space="preserve">al mercado </w:t>
      </w:r>
      <w:r w:rsidR="000D5D81" w:rsidRPr="003E7A82">
        <w:rPr>
          <w:rFonts w:ascii="Times New Roman" w:hAnsi="Times New Roman" w:cs="Times New Roman"/>
          <w:iCs/>
          <w:sz w:val="24"/>
          <w:szCs w:val="24"/>
        </w:rPr>
        <w:t>y</w:t>
      </w:r>
      <w:r w:rsidR="00EB5406" w:rsidRPr="003E7A82">
        <w:rPr>
          <w:rFonts w:ascii="Times New Roman" w:hAnsi="Times New Roman" w:cs="Times New Roman"/>
          <w:iCs/>
          <w:sz w:val="24"/>
          <w:szCs w:val="24"/>
        </w:rPr>
        <w:t xml:space="preserve"> a una eficiente y detallada </w:t>
      </w:r>
      <w:r w:rsidR="000D5D81" w:rsidRPr="003E7A82">
        <w:rPr>
          <w:rFonts w:ascii="Times New Roman" w:hAnsi="Times New Roman" w:cs="Times New Roman"/>
          <w:iCs/>
          <w:sz w:val="24"/>
          <w:szCs w:val="24"/>
        </w:rPr>
        <w:t xml:space="preserve">orientación educativa </w:t>
      </w:r>
      <w:r w:rsidR="002C5B0D" w:rsidRPr="003E7A82">
        <w:rPr>
          <w:rFonts w:ascii="Times New Roman" w:hAnsi="Times New Roman" w:cs="Times New Roman"/>
          <w:iCs/>
          <w:sz w:val="24"/>
          <w:szCs w:val="24"/>
        </w:rPr>
        <w:t>previa a la candidatura</w:t>
      </w:r>
      <w:r w:rsidR="00EB5406" w:rsidRPr="003E7A82">
        <w:rPr>
          <w:rFonts w:ascii="Times New Roman" w:hAnsi="Times New Roman" w:cs="Times New Roman"/>
          <w:iCs/>
          <w:sz w:val="24"/>
          <w:szCs w:val="24"/>
        </w:rPr>
        <w:t xml:space="preserve"> a las distintas licenciaturas universitarias</w:t>
      </w:r>
      <w:r w:rsidR="002C5B0D" w:rsidRPr="003E7A82">
        <w:rPr>
          <w:rFonts w:ascii="Times New Roman" w:hAnsi="Times New Roman" w:cs="Times New Roman"/>
          <w:iCs/>
          <w:sz w:val="24"/>
          <w:szCs w:val="24"/>
        </w:rPr>
        <w:t xml:space="preserve">, lo cual </w:t>
      </w:r>
      <w:r w:rsidR="002C5B0D" w:rsidRPr="003E7A82">
        <w:rPr>
          <w:rFonts w:ascii="Times New Roman" w:hAnsi="Times New Roman" w:cs="Times New Roman"/>
          <w:iCs/>
          <w:sz w:val="24"/>
          <w:szCs w:val="24"/>
        </w:rPr>
        <w:lastRenderedPageBreak/>
        <w:t>daría más certeza en el desarrollo individual y colectivo, así como el que la universidad prepare gente idónea en cierta</w:t>
      </w:r>
      <w:r w:rsidR="006B7CB6" w:rsidRPr="003E7A82">
        <w:rPr>
          <w:rFonts w:ascii="Times New Roman" w:hAnsi="Times New Roman" w:cs="Times New Roman"/>
          <w:iCs/>
          <w:sz w:val="24"/>
          <w:szCs w:val="24"/>
        </w:rPr>
        <w:t>s</w:t>
      </w:r>
      <w:r w:rsidR="002C5B0D" w:rsidRPr="003E7A82">
        <w:rPr>
          <w:rFonts w:ascii="Times New Roman" w:hAnsi="Times New Roman" w:cs="Times New Roman"/>
          <w:iCs/>
          <w:sz w:val="24"/>
          <w:szCs w:val="24"/>
        </w:rPr>
        <w:t xml:space="preserve"> área</w:t>
      </w:r>
      <w:r w:rsidR="006B7CB6" w:rsidRPr="003E7A82">
        <w:rPr>
          <w:rFonts w:ascii="Times New Roman" w:hAnsi="Times New Roman" w:cs="Times New Roman"/>
          <w:iCs/>
          <w:sz w:val="24"/>
          <w:szCs w:val="24"/>
        </w:rPr>
        <w:t>s</w:t>
      </w:r>
      <w:r w:rsidR="002C5B0D" w:rsidRPr="003E7A82">
        <w:rPr>
          <w:rFonts w:ascii="Times New Roman" w:hAnsi="Times New Roman" w:cs="Times New Roman"/>
          <w:iCs/>
          <w:sz w:val="24"/>
          <w:szCs w:val="24"/>
        </w:rPr>
        <w:t xml:space="preserve"> del conocimiento, reconociendo sus aspiraciones, habilidades, experiencias, desarrollo y antecedentes personales.</w:t>
      </w:r>
    </w:p>
    <w:p w14:paraId="7926C475" w14:textId="59ADE115" w:rsidR="007232BB" w:rsidRPr="003E7A82" w:rsidRDefault="007232BB" w:rsidP="006020CA">
      <w:pPr>
        <w:spacing w:before="40" w:after="40" w:line="360" w:lineRule="auto"/>
        <w:jc w:val="center"/>
        <w:rPr>
          <w:rFonts w:ascii="Times New Roman" w:hAnsi="Times New Roman" w:cs="Times New Roman"/>
          <w:i/>
          <w:sz w:val="24"/>
          <w:szCs w:val="24"/>
        </w:rPr>
      </w:pPr>
      <w:r w:rsidRPr="003E7A82">
        <w:rPr>
          <w:rFonts w:ascii="Times New Roman" w:hAnsi="Times New Roman" w:cs="Times New Roman"/>
          <w:b/>
          <w:bCs/>
          <w:iCs/>
          <w:sz w:val="28"/>
          <w:szCs w:val="28"/>
        </w:rPr>
        <w:t>Antecedentes y situación actual de la educación superior en México</w:t>
      </w:r>
      <w:r w:rsidR="00D564D6" w:rsidRPr="003E7A82">
        <w:rPr>
          <w:rFonts w:ascii="Times New Roman" w:hAnsi="Times New Roman" w:cs="Times New Roman"/>
          <w:b/>
          <w:bCs/>
          <w:iCs/>
          <w:sz w:val="28"/>
          <w:szCs w:val="28"/>
        </w:rPr>
        <w:t>:</w:t>
      </w:r>
      <w:r w:rsidRPr="003E7A82">
        <w:rPr>
          <w:rFonts w:ascii="Times New Roman" w:hAnsi="Times New Roman" w:cs="Times New Roman"/>
          <w:b/>
          <w:bCs/>
          <w:iCs/>
          <w:sz w:val="28"/>
          <w:szCs w:val="28"/>
        </w:rPr>
        <w:t xml:space="preserve"> Universidad</w:t>
      </w:r>
      <w:r w:rsidR="0091365E" w:rsidRPr="003E7A82">
        <w:rPr>
          <w:rFonts w:ascii="Times New Roman" w:hAnsi="Times New Roman" w:cs="Times New Roman"/>
          <w:b/>
          <w:bCs/>
          <w:iCs/>
          <w:sz w:val="28"/>
          <w:szCs w:val="28"/>
        </w:rPr>
        <w:t xml:space="preserve"> </w:t>
      </w:r>
      <w:r w:rsidRPr="003E7A82">
        <w:rPr>
          <w:rFonts w:ascii="Times New Roman" w:hAnsi="Times New Roman" w:cs="Times New Roman"/>
          <w:b/>
          <w:bCs/>
          <w:iCs/>
          <w:sz w:val="28"/>
          <w:szCs w:val="28"/>
        </w:rPr>
        <w:t>pública y privada</w:t>
      </w:r>
    </w:p>
    <w:p w14:paraId="712A1B25" w14:textId="3085870F" w:rsidR="008770FE" w:rsidRPr="003E7A82" w:rsidRDefault="008770FE"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La Real y Pontificia Universidad de México y la Real y Literaria Universidad de Guadalajara marcan el nacimiento de la </w:t>
      </w:r>
      <w:r w:rsidR="007C0DA4" w:rsidRPr="003E7A82">
        <w:rPr>
          <w:rFonts w:ascii="Times New Roman" w:hAnsi="Times New Roman" w:cs="Times New Roman"/>
          <w:iCs/>
          <w:sz w:val="24"/>
          <w:szCs w:val="24"/>
        </w:rPr>
        <w:t>e</w:t>
      </w:r>
      <w:r w:rsidRPr="003E7A82">
        <w:rPr>
          <w:rFonts w:ascii="Times New Roman" w:hAnsi="Times New Roman" w:cs="Times New Roman"/>
          <w:iCs/>
          <w:sz w:val="24"/>
          <w:szCs w:val="24"/>
        </w:rPr>
        <w:t xml:space="preserve">ducación superior en México a partir del siglo XVI. Para Herrera (2010), con la </w:t>
      </w:r>
      <w:r w:rsidR="00D644F0" w:rsidRPr="003E7A82">
        <w:rPr>
          <w:rFonts w:ascii="Times New Roman" w:hAnsi="Times New Roman" w:cs="Times New Roman"/>
          <w:iCs/>
          <w:sz w:val="24"/>
          <w:szCs w:val="24"/>
        </w:rPr>
        <w:t>‘</w:t>
      </w:r>
      <w:r w:rsidRPr="003E7A82">
        <w:rPr>
          <w:rFonts w:ascii="Times New Roman" w:hAnsi="Times New Roman" w:cs="Times New Roman"/>
          <w:iCs/>
          <w:sz w:val="24"/>
          <w:szCs w:val="24"/>
        </w:rPr>
        <w:t>ilustración mexicana</w:t>
      </w:r>
      <w:r w:rsidR="00D644F0"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en el siglo XVIII, la Educación Superior destaca dada la orientación científica y racionalista de todas sus instituciones, beneficiando así al sector educativo en México. </w:t>
      </w:r>
      <w:r w:rsidR="00D60FC5" w:rsidRPr="003E7A82">
        <w:rPr>
          <w:rFonts w:ascii="Times New Roman" w:hAnsi="Times New Roman" w:cs="Times New Roman"/>
          <w:iCs/>
          <w:sz w:val="24"/>
          <w:szCs w:val="24"/>
        </w:rPr>
        <w:t>Según</w:t>
      </w:r>
      <w:r w:rsidRPr="003E7A82">
        <w:rPr>
          <w:rFonts w:ascii="Times New Roman" w:hAnsi="Times New Roman" w:cs="Times New Roman"/>
          <w:iCs/>
          <w:sz w:val="24"/>
          <w:szCs w:val="24"/>
        </w:rPr>
        <w:t xml:space="preserve"> la autora, el siglo XIX se caracteriza por la búsqueda del respeto a las instituciones particulares sin injerencia del Estado mexicano, aunque estas fueran de orden religioso. Así, en la segunda mitad del siglo XIX y la primera del siglo XX, se busca el control de la educación superior por parte del Estado, ejemplo de ello, es la creación de la Universidad Nacional de México en 1910</w:t>
      </w:r>
      <w:r w:rsidR="009E68CD"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y hasta 1917 se prioriza la instauración de </w:t>
      </w:r>
      <w:r w:rsidR="00855ED2" w:rsidRPr="003E7A82">
        <w:rPr>
          <w:rFonts w:ascii="Times New Roman" w:hAnsi="Times New Roman" w:cs="Times New Roman"/>
          <w:iCs/>
          <w:sz w:val="24"/>
          <w:szCs w:val="24"/>
        </w:rPr>
        <w:t>i</w:t>
      </w:r>
      <w:r w:rsidRPr="003E7A82">
        <w:rPr>
          <w:rFonts w:ascii="Times New Roman" w:hAnsi="Times New Roman" w:cs="Times New Roman"/>
          <w:iCs/>
          <w:sz w:val="24"/>
          <w:szCs w:val="24"/>
        </w:rPr>
        <w:t xml:space="preserve">nstituciones de educación </w:t>
      </w:r>
      <w:r w:rsidR="00855ED2" w:rsidRPr="003E7A82">
        <w:rPr>
          <w:rFonts w:ascii="Times New Roman" w:hAnsi="Times New Roman" w:cs="Times New Roman"/>
          <w:iCs/>
          <w:sz w:val="24"/>
          <w:szCs w:val="24"/>
        </w:rPr>
        <w:t>s</w:t>
      </w:r>
      <w:r w:rsidRPr="003E7A82">
        <w:rPr>
          <w:rFonts w:ascii="Times New Roman" w:hAnsi="Times New Roman" w:cs="Times New Roman"/>
          <w:iCs/>
          <w:sz w:val="24"/>
          <w:szCs w:val="24"/>
        </w:rPr>
        <w:t xml:space="preserve">uperior </w:t>
      </w:r>
      <w:r w:rsidR="00855ED2" w:rsidRPr="003E7A82">
        <w:rPr>
          <w:rFonts w:ascii="Times New Roman" w:hAnsi="Times New Roman" w:cs="Times New Roman"/>
          <w:iCs/>
          <w:sz w:val="24"/>
          <w:szCs w:val="24"/>
        </w:rPr>
        <w:t>p</w:t>
      </w:r>
      <w:r w:rsidRPr="003E7A82">
        <w:rPr>
          <w:rFonts w:ascii="Times New Roman" w:hAnsi="Times New Roman" w:cs="Times New Roman"/>
          <w:iCs/>
          <w:sz w:val="24"/>
          <w:szCs w:val="24"/>
        </w:rPr>
        <w:t>ública.</w:t>
      </w:r>
    </w:p>
    <w:p w14:paraId="77604E6D" w14:textId="591F9A2C" w:rsidR="008770FE" w:rsidRPr="003E7A82" w:rsidRDefault="008770FE"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A partir del periodo postrevolucionario, en México se instituye un modelo en el que no existe o hay muy poca interacción entre unidades geográficas, un modelo llamado centro-periferia, lo que en la actualidad ha obligado a una descentralización de la educación y a cambios institucionales significativos (Porter, 2007). De acuerdo con Porter, el modelo que se utiliza y con el que se </w:t>
      </w:r>
      <w:r w:rsidR="000335FE" w:rsidRPr="003E7A82">
        <w:rPr>
          <w:rFonts w:ascii="Times New Roman" w:hAnsi="Times New Roman" w:cs="Times New Roman"/>
          <w:iCs/>
          <w:sz w:val="24"/>
          <w:szCs w:val="24"/>
        </w:rPr>
        <w:t>‘</w:t>
      </w:r>
      <w:r w:rsidRPr="003E7A82">
        <w:rPr>
          <w:rFonts w:ascii="Times New Roman" w:hAnsi="Times New Roman" w:cs="Times New Roman"/>
          <w:iCs/>
          <w:sz w:val="24"/>
          <w:szCs w:val="24"/>
        </w:rPr>
        <w:t>planea</w:t>
      </w:r>
      <w:r w:rsidR="000335FE"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la educación superior en México es el modelo </w:t>
      </w:r>
      <w:r w:rsidR="006C746D" w:rsidRPr="003E7A82">
        <w:rPr>
          <w:rFonts w:ascii="Times New Roman" w:hAnsi="Times New Roman" w:cs="Times New Roman"/>
          <w:iCs/>
          <w:sz w:val="24"/>
          <w:szCs w:val="24"/>
        </w:rPr>
        <w:t>‘</w:t>
      </w:r>
      <w:r w:rsidRPr="003E7A82">
        <w:rPr>
          <w:rFonts w:ascii="Times New Roman" w:hAnsi="Times New Roman" w:cs="Times New Roman"/>
          <w:iCs/>
          <w:sz w:val="24"/>
          <w:szCs w:val="24"/>
        </w:rPr>
        <w:t>racional comprehensivo</w:t>
      </w:r>
      <w:r w:rsidR="006C746D"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o </w:t>
      </w:r>
      <w:r w:rsidR="006C746D" w:rsidRPr="003E7A82">
        <w:rPr>
          <w:rFonts w:ascii="Times New Roman" w:hAnsi="Times New Roman" w:cs="Times New Roman"/>
          <w:iCs/>
          <w:sz w:val="24"/>
          <w:szCs w:val="24"/>
        </w:rPr>
        <w:t>‘</w:t>
      </w:r>
      <w:r w:rsidRPr="003E7A82">
        <w:rPr>
          <w:rFonts w:ascii="Times New Roman" w:hAnsi="Times New Roman" w:cs="Times New Roman"/>
          <w:iCs/>
          <w:sz w:val="24"/>
          <w:szCs w:val="24"/>
        </w:rPr>
        <w:t>normativo</w:t>
      </w:r>
      <w:r w:rsidR="006C746D" w:rsidRPr="003E7A82">
        <w:rPr>
          <w:rFonts w:ascii="Times New Roman" w:hAnsi="Times New Roman" w:cs="Times New Roman"/>
          <w:iCs/>
          <w:sz w:val="24"/>
          <w:szCs w:val="24"/>
        </w:rPr>
        <w:t>’</w:t>
      </w:r>
      <w:r w:rsidRPr="003E7A82">
        <w:rPr>
          <w:rFonts w:ascii="Times New Roman" w:hAnsi="Times New Roman" w:cs="Times New Roman"/>
          <w:iCs/>
          <w:sz w:val="24"/>
          <w:szCs w:val="24"/>
        </w:rPr>
        <w:t>, el cual ha demostrado ser inoperante e inservible para lo que demanda y necesita el país actualmente en materia de desarrollo educativo</w:t>
      </w:r>
      <w:r w:rsidR="002F3B9B" w:rsidRPr="003E7A82">
        <w:rPr>
          <w:rFonts w:ascii="Times New Roman" w:hAnsi="Times New Roman" w:cs="Times New Roman"/>
          <w:iCs/>
          <w:sz w:val="24"/>
          <w:szCs w:val="24"/>
        </w:rPr>
        <w:t xml:space="preserve"> y económico</w:t>
      </w:r>
      <w:r w:rsidRPr="003E7A82">
        <w:rPr>
          <w:rFonts w:ascii="Times New Roman" w:hAnsi="Times New Roman" w:cs="Times New Roman"/>
          <w:iCs/>
          <w:sz w:val="24"/>
          <w:szCs w:val="24"/>
        </w:rPr>
        <w:t xml:space="preserve">. Sin embargo, el señalamiento hacia un </w:t>
      </w:r>
      <w:r w:rsidR="00C53C6D" w:rsidRPr="003E7A82">
        <w:rPr>
          <w:rFonts w:ascii="Times New Roman" w:hAnsi="Times New Roman" w:cs="Times New Roman"/>
          <w:iCs/>
          <w:sz w:val="24"/>
          <w:szCs w:val="24"/>
        </w:rPr>
        <w:t>‘</w:t>
      </w:r>
      <w:r w:rsidRPr="003E7A82">
        <w:rPr>
          <w:rFonts w:ascii="Times New Roman" w:hAnsi="Times New Roman" w:cs="Times New Roman"/>
          <w:iCs/>
          <w:sz w:val="24"/>
          <w:szCs w:val="24"/>
        </w:rPr>
        <w:t>regionalismo crítico</w:t>
      </w:r>
      <w:r w:rsidR="00C53C6D"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versa en torno a las decisiones que se toman sin una consulta explícita, sino desde esquemas tradicionales, bajo reglas establecidas, sin la consulta de los actores, sin atender las experiencias y </w:t>
      </w:r>
      <w:r w:rsidR="00AE33CF" w:rsidRPr="003E7A82">
        <w:rPr>
          <w:rFonts w:ascii="Times New Roman" w:hAnsi="Times New Roman" w:cs="Times New Roman"/>
          <w:iCs/>
          <w:sz w:val="24"/>
          <w:szCs w:val="24"/>
        </w:rPr>
        <w:t xml:space="preserve">opiniones </w:t>
      </w:r>
      <w:r w:rsidRPr="003E7A82">
        <w:rPr>
          <w:rFonts w:ascii="Times New Roman" w:hAnsi="Times New Roman" w:cs="Times New Roman"/>
          <w:iCs/>
          <w:sz w:val="24"/>
          <w:szCs w:val="24"/>
        </w:rPr>
        <w:t>expert</w:t>
      </w:r>
      <w:r w:rsidR="00AE33CF" w:rsidRPr="003E7A82">
        <w:rPr>
          <w:rFonts w:ascii="Times New Roman" w:hAnsi="Times New Roman" w:cs="Times New Roman"/>
          <w:iCs/>
          <w:sz w:val="24"/>
          <w:szCs w:val="24"/>
        </w:rPr>
        <w:t>a</w:t>
      </w:r>
      <w:r w:rsidRPr="003E7A82">
        <w:rPr>
          <w:rFonts w:ascii="Times New Roman" w:hAnsi="Times New Roman" w:cs="Times New Roman"/>
          <w:iCs/>
          <w:sz w:val="24"/>
          <w:szCs w:val="24"/>
        </w:rPr>
        <w:t>s que pudieran funcionar como canales para mejorar los programas educativos</w:t>
      </w:r>
      <w:r w:rsidR="00F81F45" w:rsidRPr="003E7A82">
        <w:rPr>
          <w:rFonts w:ascii="Times New Roman" w:hAnsi="Times New Roman" w:cs="Times New Roman"/>
          <w:iCs/>
          <w:sz w:val="24"/>
          <w:szCs w:val="24"/>
        </w:rPr>
        <w:t xml:space="preserve"> y su impacto en el bienestar y la sustentabilidad del país.</w:t>
      </w:r>
    </w:p>
    <w:p w14:paraId="6282A142" w14:textId="1C68BE4F" w:rsidR="007629CD" w:rsidRDefault="007629CD"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Porter</w:t>
      </w:r>
      <w:r w:rsidR="00A551F7" w:rsidRPr="003E7A82">
        <w:rPr>
          <w:rFonts w:ascii="Times New Roman" w:hAnsi="Times New Roman" w:cs="Times New Roman"/>
          <w:iCs/>
          <w:sz w:val="24"/>
          <w:szCs w:val="24"/>
        </w:rPr>
        <w:t xml:space="preserve"> señala que</w:t>
      </w:r>
      <w:r w:rsidRPr="003E7A82">
        <w:rPr>
          <w:rFonts w:ascii="Times New Roman" w:hAnsi="Times New Roman" w:cs="Times New Roman"/>
          <w:iCs/>
          <w:sz w:val="24"/>
          <w:szCs w:val="24"/>
        </w:rPr>
        <w:t xml:space="preserve"> dentro de la organización académica y de las universidades públicas,</w:t>
      </w:r>
      <w:r w:rsidR="00566A97" w:rsidRPr="003E7A82">
        <w:rPr>
          <w:rFonts w:ascii="Times New Roman" w:hAnsi="Times New Roman" w:cs="Times New Roman"/>
          <w:iCs/>
          <w:sz w:val="24"/>
          <w:szCs w:val="24"/>
        </w:rPr>
        <w:t xml:space="preserve"> la coordinación de acciones y los </w:t>
      </w:r>
      <w:r w:rsidR="00574102" w:rsidRPr="003E7A82">
        <w:rPr>
          <w:rFonts w:ascii="Times New Roman" w:hAnsi="Times New Roman" w:cs="Times New Roman"/>
          <w:iCs/>
          <w:sz w:val="24"/>
          <w:szCs w:val="24"/>
        </w:rPr>
        <w:t>logros obtenidos</w:t>
      </w:r>
      <w:r w:rsidR="00EC3001" w:rsidRPr="003E7A82">
        <w:rPr>
          <w:rFonts w:ascii="Times New Roman" w:hAnsi="Times New Roman" w:cs="Times New Roman"/>
          <w:iCs/>
          <w:sz w:val="24"/>
          <w:szCs w:val="24"/>
        </w:rPr>
        <w:t xml:space="preserve"> principalmente</w:t>
      </w:r>
      <w:r w:rsidR="00574102" w:rsidRPr="003E7A82">
        <w:rPr>
          <w:rFonts w:ascii="Times New Roman" w:hAnsi="Times New Roman" w:cs="Times New Roman"/>
          <w:iCs/>
          <w:sz w:val="24"/>
          <w:szCs w:val="24"/>
        </w:rPr>
        <w:t>, son</w:t>
      </w:r>
      <w:r w:rsidR="00EC3001" w:rsidRPr="003E7A82">
        <w:rPr>
          <w:rFonts w:ascii="Times New Roman" w:hAnsi="Times New Roman" w:cs="Times New Roman"/>
          <w:iCs/>
          <w:sz w:val="24"/>
          <w:szCs w:val="24"/>
        </w:rPr>
        <w:t xml:space="preserve"> aspectos que le dan</w:t>
      </w:r>
      <w:r w:rsidR="00566A97" w:rsidRPr="003E7A82">
        <w:rPr>
          <w:rFonts w:ascii="Times New Roman" w:hAnsi="Times New Roman" w:cs="Times New Roman"/>
          <w:iCs/>
          <w:sz w:val="24"/>
          <w:szCs w:val="24"/>
        </w:rPr>
        <w:t xml:space="preserve"> </w:t>
      </w:r>
      <w:r w:rsidR="00574102" w:rsidRPr="003E7A82">
        <w:rPr>
          <w:rFonts w:ascii="Times New Roman" w:hAnsi="Times New Roman" w:cs="Times New Roman"/>
          <w:iCs/>
          <w:sz w:val="24"/>
          <w:szCs w:val="24"/>
        </w:rPr>
        <w:t>“</w:t>
      </w:r>
      <w:r w:rsidR="00566A97" w:rsidRPr="003E7A82">
        <w:rPr>
          <w:rFonts w:ascii="Times New Roman" w:hAnsi="Times New Roman" w:cs="Times New Roman"/>
          <w:iCs/>
          <w:sz w:val="24"/>
          <w:szCs w:val="24"/>
        </w:rPr>
        <w:t>sentido</w:t>
      </w:r>
      <w:r w:rsidR="00574102" w:rsidRPr="003E7A82">
        <w:rPr>
          <w:rFonts w:ascii="Times New Roman" w:hAnsi="Times New Roman" w:cs="Times New Roman"/>
          <w:iCs/>
          <w:sz w:val="24"/>
          <w:szCs w:val="24"/>
        </w:rPr>
        <w:t>”</w:t>
      </w:r>
      <w:r w:rsidR="00EC3001" w:rsidRPr="003E7A82">
        <w:rPr>
          <w:rFonts w:ascii="Times New Roman" w:hAnsi="Times New Roman" w:cs="Times New Roman"/>
          <w:iCs/>
          <w:sz w:val="24"/>
          <w:szCs w:val="24"/>
        </w:rPr>
        <w:t xml:space="preserve"> a</w:t>
      </w:r>
      <w:r w:rsidR="00566A97" w:rsidRPr="003E7A82">
        <w:rPr>
          <w:rFonts w:ascii="Times New Roman" w:hAnsi="Times New Roman" w:cs="Times New Roman"/>
          <w:iCs/>
          <w:sz w:val="24"/>
          <w:szCs w:val="24"/>
        </w:rPr>
        <w:t xml:space="preserve"> las universidades</w:t>
      </w:r>
      <w:r w:rsidR="00EC3001" w:rsidRPr="003E7A82">
        <w:rPr>
          <w:rFonts w:ascii="Times New Roman" w:hAnsi="Times New Roman" w:cs="Times New Roman"/>
          <w:iCs/>
          <w:sz w:val="24"/>
          <w:szCs w:val="24"/>
        </w:rPr>
        <w:t>, ya sea al</w:t>
      </w:r>
      <w:r w:rsidR="00574102" w:rsidRPr="003E7A82">
        <w:rPr>
          <w:rFonts w:ascii="Times New Roman" w:hAnsi="Times New Roman" w:cs="Times New Roman"/>
          <w:iCs/>
          <w:sz w:val="24"/>
          <w:szCs w:val="24"/>
        </w:rPr>
        <w:t xml:space="preserve"> interior de </w:t>
      </w:r>
      <w:r w:rsidR="005705DE" w:rsidRPr="003E7A82">
        <w:rPr>
          <w:rFonts w:ascii="Times New Roman" w:hAnsi="Times New Roman" w:cs="Times New Roman"/>
          <w:iCs/>
          <w:sz w:val="24"/>
          <w:szCs w:val="24"/>
        </w:rPr>
        <w:t>estas</w:t>
      </w:r>
      <w:r w:rsidR="00EC3001" w:rsidRPr="003E7A82">
        <w:rPr>
          <w:rFonts w:ascii="Times New Roman" w:hAnsi="Times New Roman" w:cs="Times New Roman"/>
          <w:iCs/>
          <w:sz w:val="24"/>
          <w:szCs w:val="24"/>
        </w:rPr>
        <w:t>,</w:t>
      </w:r>
      <w:r w:rsidR="00574102" w:rsidRPr="003E7A82">
        <w:rPr>
          <w:rFonts w:ascii="Times New Roman" w:hAnsi="Times New Roman" w:cs="Times New Roman"/>
          <w:iCs/>
          <w:sz w:val="24"/>
          <w:szCs w:val="24"/>
        </w:rPr>
        <w:t xml:space="preserve"> y</w:t>
      </w:r>
      <w:r w:rsidR="00EC3001" w:rsidRPr="003E7A82">
        <w:rPr>
          <w:rFonts w:ascii="Times New Roman" w:hAnsi="Times New Roman" w:cs="Times New Roman"/>
          <w:iCs/>
          <w:sz w:val="24"/>
          <w:szCs w:val="24"/>
        </w:rPr>
        <w:t xml:space="preserve"> </w:t>
      </w:r>
      <w:r w:rsidR="005705DE" w:rsidRPr="003E7A82">
        <w:rPr>
          <w:rFonts w:ascii="Times New Roman" w:hAnsi="Times New Roman" w:cs="Times New Roman"/>
          <w:iCs/>
          <w:sz w:val="24"/>
          <w:szCs w:val="24"/>
        </w:rPr>
        <w:t>más aún</w:t>
      </w:r>
      <w:r w:rsidR="00574102" w:rsidRPr="003E7A82">
        <w:rPr>
          <w:rFonts w:ascii="Times New Roman" w:hAnsi="Times New Roman" w:cs="Times New Roman"/>
          <w:iCs/>
          <w:sz w:val="24"/>
          <w:szCs w:val="24"/>
        </w:rPr>
        <w:t xml:space="preserve"> frente al contexto social</w:t>
      </w:r>
      <w:r w:rsidR="00566A97" w:rsidRPr="003E7A82">
        <w:rPr>
          <w:rFonts w:ascii="Times New Roman" w:hAnsi="Times New Roman" w:cs="Times New Roman"/>
          <w:iCs/>
          <w:sz w:val="24"/>
          <w:szCs w:val="24"/>
        </w:rPr>
        <w:t>.</w:t>
      </w:r>
      <w:r w:rsidR="00EC3001" w:rsidRPr="003E7A82">
        <w:rPr>
          <w:rFonts w:ascii="Times New Roman" w:hAnsi="Times New Roman" w:cs="Times New Roman"/>
          <w:iCs/>
          <w:sz w:val="24"/>
          <w:szCs w:val="24"/>
        </w:rPr>
        <w:t xml:space="preserve"> Sin </w:t>
      </w:r>
      <w:r w:rsidR="00BD0B8E" w:rsidRPr="003E7A82">
        <w:rPr>
          <w:rFonts w:ascii="Times New Roman" w:hAnsi="Times New Roman" w:cs="Times New Roman"/>
          <w:iCs/>
          <w:sz w:val="24"/>
          <w:szCs w:val="24"/>
        </w:rPr>
        <w:t xml:space="preserve">embargo, Porter retoma el señalamiento de March y </w:t>
      </w:r>
      <w:proofErr w:type="spellStart"/>
      <w:r w:rsidR="00BD0B8E" w:rsidRPr="003E7A82">
        <w:rPr>
          <w:rFonts w:ascii="Times New Roman" w:hAnsi="Times New Roman" w:cs="Times New Roman"/>
          <w:iCs/>
          <w:sz w:val="24"/>
          <w:szCs w:val="24"/>
        </w:rPr>
        <w:t>Simon</w:t>
      </w:r>
      <w:proofErr w:type="spellEnd"/>
      <w:r w:rsidR="00BD0B8E" w:rsidRPr="003E7A82">
        <w:rPr>
          <w:rFonts w:ascii="Times New Roman" w:hAnsi="Times New Roman" w:cs="Times New Roman"/>
          <w:iCs/>
          <w:sz w:val="24"/>
          <w:szCs w:val="24"/>
        </w:rPr>
        <w:t>,</w:t>
      </w:r>
      <w:r w:rsidR="00EC3001" w:rsidRPr="003E7A82">
        <w:rPr>
          <w:rFonts w:ascii="Times New Roman" w:hAnsi="Times New Roman" w:cs="Times New Roman"/>
          <w:iCs/>
          <w:sz w:val="24"/>
          <w:szCs w:val="24"/>
        </w:rPr>
        <w:t xml:space="preserve"> </w:t>
      </w:r>
      <w:r w:rsidR="00BD0B8E" w:rsidRPr="003E7A82">
        <w:rPr>
          <w:rFonts w:ascii="Times New Roman" w:hAnsi="Times New Roman" w:cs="Times New Roman"/>
          <w:iCs/>
          <w:sz w:val="24"/>
          <w:szCs w:val="24"/>
        </w:rPr>
        <w:t xml:space="preserve">quienes </w:t>
      </w:r>
      <w:r w:rsidR="00EC3001" w:rsidRPr="003E7A82">
        <w:rPr>
          <w:rFonts w:ascii="Times New Roman" w:hAnsi="Times New Roman" w:cs="Times New Roman"/>
          <w:iCs/>
          <w:sz w:val="24"/>
          <w:szCs w:val="24"/>
        </w:rPr>
        <w:t>define</w:t>
      </w:r>
      <w:r w:rsidR="00BD0B8E" w:rsidRPr="003E7A82">
        <w:rPr>
          <w:rFonts w:ascii="Times New Roman" w:hAnsi="Times New Roman" w:cs="Times New Roman"/>
          <w:iCs/>
          <w:sz w:val="24"/>
          <w:szCs w:val="24"/>
        </w:rPr>
        <w:t>n</w:t>
      </w:r>
      <w:r w:rsidR="00EC3001" w:rsidRPr="003E7A82">
        <w:rPr>
          <w:rFonts w:ascii="Times New Roman" w:hAnsi="Times New Roman" w:cs="Times New Roman"/>
          <w:iCs/>
          <w:sz w:val="24"/>
          <w:szCs w:val="24"/>
        </w:rPr>
        <w:t xml:space="preserve"> a la universidad</w:t>
      </w:r>
      <w:r w:rsidR="00BD0B8E" w:rsidRPr="003E7A82">
        <w:rPr>
          <w:rFonts w:ascii="Times New Roman" w:hAnsi="Times New Roman" w:cs="Times New Roman"/>
          <w:iCs/>
          <w:sz w:val="24"/>
          <w:szCs w:val="24"/>
        </w:rPr>
        <w:t xml:space="preserve"> como una </w:t>
      </w:r>
      <w:r w:rsidR="00B854B4" w:rsidRPr="003E7A82">
        <w:rPr>
          <w:rFonts w:ascii="Times New Roman" w:hAnsi="Times New Roman" w:cs="Times New Roman"/>
          <w:iCs/>
          <w:sz w:val="24"/>
          <w:szCs w:val="24"/>
        </w:rPr>
        <w:t>‘</w:t>
      </w:r>
      <w:r w:rsidR="00BD0B8E" w:rsidRPr="003E7A82">
        <w:rPr>
          <w:rFonts w:ascii="Times New Roman" w:hAnsi="Times New Roman" w:cs="Times New Roman"/>
          <w:iCs/>
          <w:sz w:val="24"/>
          <w:szCs w:val="24"/>
        </w:rPr>
        <w:t>anarquía organizada</w:t>
      </w:r>
      <w:r w:rsidR="00B854B4" w:rsidRPr="003E7A82">
        <w:rPr>
          <w:rFonts w:ascii="Times New Roman" w:hAnsi="Times New Roman" w:cs="Times New Roman"/>
          <w:iCs/>
          <w:sz w:val="24"/>
          <w:szCs w:val="24"/>
        </w:rPr>
        <w:t>’</w:t>
      </w:r>
      <w:r w:rsidR="00BB0AB4" w:rsidRPr="003E7A82">
        <w:rPr>
          <w:rFonts w:ascii="Times New Roman" w:hAnsi="Times New Roman" w:cs="Times New Roman"/>
          <w:iCs/>
          <w:sz w:val="24"/>
          <w:szCs w:val="24"/>
        </w:rPr>
        <w:t>, desprovista de prin</w:t>
      </w:r>
      <w:r w:rsidR="001C30F3" w:rsidRPr="003E7A82">
        <w:rPr>
          <w:rFonts w:ascii="Times New Roman" w:hAnsi="Times New Roman" w:cs="Times New Roman"/>
          <w:iCs/>
          <w:sz w:val="24"/>
          <w:szCs w:val="24"/>
        </w:rPr>
        <w:t xml:space="preserve">cipios de dirección y de </w:t>
      </w:r>
      <w:r w:rsidR="001C30F3" w:rsidRPr="003E7A82">
        <w:rPr>
          <w:rFonts w:ascii="Times New Roman" w:hAnsi="Times New Roman" w:cs="Times New Roman"/>
          <w:iCs/>
          <w:sz w:val="24"/>
          <w:szCs w:val="24"/>
        </w:rPr>
        <w:lastRenderedPageBreak/>
        <w:t xml:space="preserve">origen, por ello, la variación urgente </w:t>
      </w:r>
      <w:r w:rsidR="00BF59C9" w:rsidRPr="003E7A82">
        <w:rPr>
          <w:rFonts w:ascii="Times New Roman" w:hAnsi="Times New Roman" w:cs="Times New Roman"/>
          <w:iCs/>
          <w:sz w:val="24"/>
          <w:szCs w:val="24"/>
        </w:rPr>
        <w:t xml:space="preserve">y </w:t>
      </w:r>
      <w:r w:rsidR="001C30F3" w:rsidRPr="003E7A82">
        <w:rPr>
          <w:rFonts w:ascii="Times New Roman" w:hAnsi="Times New Roman" w:cs="Times New Roman"/>
          <w:iCs/>
          <w:sz w:val="24"/>
          <w:szCs w:val="24"/>
        </w:rPr>
        <w:t xml:space="preserve">drástica en la organización dentro de la universidad. Así, muchas universidades adolecen de la </w:t>
      </w:r>
      <w:r w:rsidR="00494A41" w:rsidRPr="003E7A82">
        <w:rPr>
          <w:rFonts w:ascii="Times New Roman" w:hAnsi="Times New Roman" w:cs="Times New Roman"/>
          <w:iCs/>
          <w:sz w:val="24"/>
          <w:szCs w:val="24"/>
        </w:rPr>
        <w:t>‘</w:t>
      </w:r>
      <w:r w:rsidR="001C30F3" w:rsidRPr="003E7A82">
        <w:rPr>
          <w:rFonts w:ascii="Times New Roman" w:hAnsi="Times New Roman" w:cs="Times New Roman"/>
          <w:iCs/>
          <w:sz w:val="24"/>
          <w:szCs w:val="24"/>
        </w:rPr>
        <w:t>peligrosa</w:t>
      </w:r>
      <w:r w:rsidR="00494A41" w:rsidRPr="003E7A82">
        <w:rPr>
          <w:rFonts w:ascii="Times New Roman" w:hAnsi="Times New Roman" w:cs="Times New Roman"/>
          <w:iCs/>
          <w:sz w:val="24"/>
          <w:szCs w:val="24"/>
        </w:rPr>
        <w:t>’</w:t>
      </w:r>
      <w:r w:rsidR="001C30F3" w:rsidRPr="003E7A82">
        <w:rPr>
          <w:rFonts w:ascii="Times New Roman" w:hAnsi="Times New Roman" w:cs="Times New Roman"/>
          <w:iCs/>
          <w:sz w:val="24"/>
          <w:szCs w:val="24"/>
        </w:rPr>
        <w:t xml:space="preserve"> organización totalitaria</w:t>
      </w:r>
      <w:r w:rsidR="005E48BD" w:rsidRPr="003E7A82">
        <w:rPr>
          <w:rFonts w:ascii="Times New Roman" w:hAnsi="Times New Roman" w:cs="Times New Roman"/>
          <w:iCs/>
          <w:sz w:val="24"/>
          <w:szCs w:val="24"/>
        </w:rPr>
        <w:t>, por tanto:</w:t>
      </w:r>
    </w:p>
    <w:p w14:paraId="79BE1E7E" w14:textId="77777777" w:rsidR="006020CA" w:rsidRPr="003E7A82" w:rsidRDefault="006020CA" w:rsidP="00E77F98">
      <w:pPr>
        <w:spacing w:before="40" w:after="40" w:line="360" w:lineRule="auto"/>
        <w:jc w:val="both"/>
        <w:rPr>
          <w:rFonts w:ascii="Times New Roman" w:hAnsi="Times New Roman" w:cs="Times New Roman"/>
          <w:iCs/>
          <w:sz w:val="24"/>
          <w:szCs w:val="24"/>
        </w:rPr>
      </w:pPr>
    </w:p>
    <w:p w14:paraId="6AB0A065" w14:textId="68C68F05" w:rsidR="00A07EFC" w:rsidRPr="003E7A82" w:rsidRDefault="005E48BD" w:rsidP="00E77F98">
      <w:pPr>
        <w:spacing w:before="40" w:after="40" w:line="360" w:lineRule="auto"/>
        <w:ind w:left="567"/>
        <w:jc w:val="both"/>
        <w:rPr>
          <w:rFonts w:ascii="Times New Roman" w:hAnsi="Times New Roman" w:cs="Times New Roman"/>
          <w:iCs/>
          <w:sz w:val="24"/>
          <w:szCs w:val="24"/>
        </w:rPr>
      </w:pPr>
      <w:r w:rsidRPr="003E7A82">
        <w:rPr>
          <w:rFonts w:ascii="Times New Roman" w:hAnsi="Times New Roman" w:cs="Times New Roman"/>
          <w:iCs/>
          <w:sz w:val="24"/>
          <w:szCs w:val="24"/>
        </w:rPr>
        <w:t xml:space="preserve">La rigidez que paraliza a nuestras instituciones educativas las sitúa dentro de la urgencia de su necesaria transformación, o su condena a continuar en un peligroso proceso de desgaste y decadencia. Es posible que la universidad pública pueda definirse hoy en día como una organización poco flexible. Si esto es verdad se trata de una organización que tiene la capacidad de frustrar cualquier iniciativa de cambio legítimamente deseada tanto por una nueva dirección como por aquellas personas que tienen interés en transformarla y transformarse </w:t>
      </w:r>
      <w:r w:rsidR="00751B25" w:rsidRPr="003E7A82">
        <w:rPr>
          <w:rFonts w:ascii="Times New Roman" w:hAnsi="Times New Roman" w:cs="Times New Roman"/>
          <w:iCs/>
          <w:sz w:val="24"/>
          <w:szCs w:val="24"/>
        </w:rPr>
        <w:t>(</w:t>
      </w:r>
      <w:r w:rsidR="009D35B4" w:rsidRPr="003E7A82">
        <w:rPr>
          <w:rFonts w:ascii="Times New Roman" w:hAnsi="Times New Roman" w:cs="Times New Roman"/>
          <w:iCs/>
          <w:sz w:val="24"/>
          <w:szCs w:val="24"/>
        </w:rPr>
        <w:t xml:space="preserve">March y </w:t>
      </w:r>
      <w:proofErr w:type="spellStart"/>
      <w:r w:rsidR="009D35B4" w:rsidRPr="003E7A82">
        <w:rPr>
          <w:rFonts w:ascii="Times New Roman" w:hAnsi="Times New Roman" w:cs="Times New Roman"/>
          <w:iCs/>
          <w:sz w:val="24"/>
          <w:szCs w:val="24"/>
        </w:rPr>
        <w:t>Simon</w:t>
      </w:r>
      <w:proofErr w:type="spellEnd"/>
      <w:r w:rsidR="00751B25" w:rsidRPr="003E7A82">
        <w:rPr>
          <w:rFonts w:ascii="Times New Roman" w:hAnsi="Times New Roman" w:cs="Times New Roman"/>
          <w:iCs/>
          <w:sz w:val="24"/>
          <w:szCs w:val="24"/>
        </w:rPr>
        <w:t xml:space="preserve">, </w:t>
      </w:r>
      <w:r w:rsidR="009D35B4" w:rsidRPr="003E7A82">
        <w:rPr>
          <w:rFonts w:ascii="Times New Roman" w:hAnsi="Times New Roman" w:cs="Times New Roman"/>
          <w:iCs/>
          <w:sz w:val="24"/>
          <w:szCs w:val="24"/>
        </w:rPr>
        <w:t>1958</w:t>
      </w:r>
      <w:r w:rsidR="00751B25" w:rsidRPr="003E7A82">
        <w:rPr>
          <w:rFonts w:ascii="Times New Roman" w:hAnsi="Times New Roman" w:cs="Times New Roman"/>
          <w:iCs/>
          <w:sz w:val="24"/>
          <w:szCs w:val="24"/>
        </w:rPr>
        <w:t>,</w:t>
      </w:r>
      <w:r w:rsidR="009D35B4" w:rsidRPr="003E7A82">
        <w:rPr>
          <w:rFonts w:ascii="Times New Roman" w:hAnsi="Times New Roman" w:cs="Times New Roman"/>
          <w:iCs/>
          <w:sz w:val="24"/>
          <w:szCs w:val="24"/>
        </w:rPr>
        <w:t xml:space="preserve"> </w:t>
      </w:r>
      <w:r w:rsidRPr="0014660A">
        <w:rPr>
          <w:rFonts w:ascii="Times New Roman" w:hAnsi="Times New Roman" w:cs="Times New Roman"/>
          <w:iCs/>
          <w:sz w:val="24"/>
          <w:szCs w:val="24"/>
        </w:rPr>
        <w:t>p.</w:t>
      </w:r>
      <w:r w:rsidR="00125B8B" w:rsidRPr="0014660A">
        <w:rPr>
          <w:rFonts w:ascii="Times New Roman" w:hAnsi="Times New Roman" w:cs="Times New Roman"/>
          <w:iCs/>
          <w:sz w:val="24"/>
          <w:szCs w:val="24"/>
        </w:rPr>
        <w:t xml:space="preserve"> </w:t>
      </w:r>
      <w:r w:rsidRPr="0014660A">
        <w:rPr>
          <w:rFonts w:ascii="Times New Roman" w:hAnsi="Times New Roman" w:cs="Times New Roman"/>
          <w:iCs/>
          <w:sz w:val="24"/>
          <w:szCs w:val="24"/>
        </w:rPr>
        <w:t>150</w:t>
      </w:r>
      <w:r w:rsidR="00065226" w:rsidRPr="0014660A">
        <w:rPr>
          <w:rFonts w:ascii="Times New Roman" w:hAnsi="Times New Roman" w:cs="Times New Roman"/>
          <w:iCs/>
          <w:sz w:val="24"/>
          <w:szCs w:val="24"/>
        </w:rPr>
        <w:t xml:space="preserve">, </w:t>
      </w:r>
      <w:r w:rsidR="005F7F09" w:rsidRPr="0014660A">
        <w:rPr>
          <w:rFonts w:ascii="Times New Roman" w:hAnsi="Times New Roman" w:cs="Times New Roman"/>
          <w:iCs/>
          <w:sz w:val="24"/>
          <w:szCs w:val="24"/>
        </w:rPr>
        <w:t xml:space="preserve">como se citó </w:t>
      </w:r>
      <w:r w:rsidR="00065226" w:rsidRPr="0014660A">
        <w:rPr>
          <w:rFonts w:ascii="Times New Roman" w:hAnsi="Times New Roman" w:cs="Times New Roman"/>
          <w:iCs/>
          <w:sz w:val="24"/>
          <w:szCs w:val="24"/>
        </w:rPr>
        <w:t>en Porter, 2007</w:t>
      </w:r>
      <w:r w:rsidRPr="0014660A">
        <w:rPr>
          <w:rFonts w:ascii="Times New Roman" w:hAnsi="Times New Roman" w:cs="Times New Roman"/>
          <w:iCs/>
          <w:sz w:val="24"/>
          <w:szCs w:val="24"/>
        </w:rPr>
        <w:t>)</w:t>
      </w:r>
      <w:r w:rsidR="005F7F09" w:rsidRPr="0014660A">
        <w:rPr>
          <w:rFonts w:ascii="Times New Roman" w:hAnsi="Times New Roman" w:cs="Times New Roman"/>
          <w:iCs/>
          <w:sz w:val="24"/>
          <w:szCs w:val="24"/>
        </w:rPr>
        <w:t>.</w:t>
      </w:r>
      <w:r w:rsidR="0014660A" w:rsidRPr="003E7A82">
        <w:rPr>
          <w:rFonts w:ascii="Times New Roman" w:hAnsi="Times New Roman" w:cs="Times New Roman"/>
          <w:iCs/>
          <w:sz w:val="24"/>
          <w:szCs w:val="24"/>
        </w:rPr>
        <w:t xml:space="preserve"> </w:t>
      </w:r>
    </w:p>
    <w:p w14:paraId="19AAB94C" w14:textId="7C005FE8" w:rsidR="008770FE" w:rsidRPr="003E7A82" w:rsidRDefault="00324D75"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Por otro lado,</w:t>
      </w:r>
      <w:r w:rsidR="00EC7F7C" w:rsidRPr="003E7A82">
        <w:rPr>
          <w:rFonts w:ascii="Times New Roman" w:hAnsi="Times New Roman" w:cs="Times New Roman"/>
          <w:iCs/>
          <w:sz w:val="24"/>
          <w:szCs w:val="24"/>
        </w:rPr>
        <w:t xml:space="preserve"> Fundación (2023) señala que</w:t>
      </w:r>
      <w:r w:rsidR="008770FE" w:rsidRPr="003E7A82">
        <w:rPr>
          <w:rFonts w:ascii="Times New Roman" w:hAnsi="Times New Roman" w:cs="Times New Roman"/>
          <w:iCs/>
          <w:sz w:val="24"/>
          <w:szCs w:val="24"/>
        </w:rPr>
        <w:t xml:space="preserve"> en México la desigualdad en cuanto a las oportunidades que deben tener los jóvenes para poder ingresar a la educación superior, se hace patente debido a la falta de oportunidades para el ingreso a instituciones universitarias por una desubicación territorial de las mismas. Asimismo, señala que el INEGI establece a cinco entidades como las que menos opciones universitarias tienen, destacando Guanajuato, Chiapas, Quintana Roo, Michoacán y Guerrer</w:t>
      </w:r>
      <w:r w:rsidR="008770FE" w:rsidRPr="0014660A">
        <w:rPr>
          <w:rFonts w:ascii="Times New Roman" w:hAnsi="Times New Roman" w:cs="Times New Roman"/>
          <w:iCs/>
          <w:sz w:val="24"/>
          <w:szCs w:val="24"/>
        </w:rPr>
        <w:t>o</w:t>
      </w:r>
      <w:r w:rsidR="005F7F09" w:rsidRPr="0014660A">
        <w:rPr>
          <w:rFonts w:ascii="Times New Roman" w:hAnsi="Times New Roman" w:cs="Times New Roman"/>
          <w:iCs/>
          <w:sz w:val="24"/>
          <w:szCs w:val="24"/>
        </w:rPr>
        <w:t>;</w:t>
      </w:r>
      <w:r w:rsidR="008770FE" w:rsidRPr="0014660A">
        <w:rPr>
          <w:rFonts w:ascii="Times New Roman" w:hAnsi="Times New Roman" w:cs="Times New Roman"/>
          <w:iCs/>
          <w:sz w:val="24"/>
          <w:szCs w:val="24"/>
        </w:rPr>
        <w:t xml:space="preserve"> es decir</w:t>
      </w:r>
      <w:r w:rsidR="005F7F09" w:rsidRPr="0014660A">
        <w:rPr>
          <w:rFonts w:ascii="Times New Roman" w:hAnsi="Times New Roman" w:cs="Times New Roman"/>
          <w:iCs/>
          <w:sz w:val="24"/>
          <w:szCs w:val="24"/>
        </w:rPr>
        <w:t>,</w:t>
      </w:r>
      <w:r w:rsidR="008770FE" w:rsidRPr="003E7A82">
        <w:rPr>
          <w:rFonts w:ascii="Times New Roman" w:hAnsi="Times New Roman" w:cs="Times New Roman"/>
          <w:iCs/>
          <w:sz w:val="24"/>
          <w:szCs w:val="24"/>
        </w:rPr>
        <w:t xml:space="preserve"> el equivalente al 77 % de los jóvenes de dichos </w:t>
      </w:r>
      <w:r w:rsidR="0088408C" w:rsidRPr="003E7A82">
        <w:rPr>
          <w:rFonts w:ascii="Times New Roman" w:hAnsi="Times New Roman" w:cs="Times New Roman"/>
          <w:iCs/>
          <w:sz w:val="24"/>
          <w:szCs w:val="24"/>
        </w:rPr>
        <w:t>e</w:t>
      </w:r>
      <w:r w:rsidR="008770FE" w:rsidRPr="003E7A82">
        <w:rPr>
          <w:rFonts w:ascii="Times New Roman" w:hAnsi="Times New Roman" w:cs="Times New Roman"/>
          <w:iCs/>
          <w:sz w:val="24"/>
          <w:szCs w:val="24"/>
        </w:rPr>
        <w:t>stados. Aunado a ello, se debe sumar la deserción derivada por disgusto a cierto</w:t>
      </w:r>
      <w:r w:rsidR="00E7051D" w:rsidRPr="003E7A82">
        <w:rPr>
          <w:rFonts w:ascii="Times New Roman" w:hAnsi="Times New Roman" w:cs="Times New Roman"/>
          <w:iCs/>
          <w:sz w:val="24"/>
          <w:szCs w:val="24"/>
        </w:rPr>
        <w:t>s</w:t>
      </w:r>
      <w:r w:rsidR="008770FE" w:rsidRPr="003E7A82">
        <w:rPr>
          <w:rFonts w:ascii="Times New Roman" w:hAnsi="Times New Roman" w:cs="Times New Roman"/>
          <w:iCs/>
          <w:sz w:val="24"/>
          <w:szCs w:val="24"/>
        </w:rPr>
        <w:t xml:space="preserve"> programa</w:t>
      </w:r>
      <w:r w:rsidR="00E7051D" w:rsidRPr="003E7A82">
        <w:rPr>
          <w:rFonts w:ascii="Times New Roman" w:hAnsi="Times New Roman" w:cs="Times New Roman"/>
          <w:iCs/>
          <w:sz w:val="24"/>
          <w:szCs w:val="24"/>
        </w:rPr>
        <w:t>s</w:t>
      </w:r>
      <w:r w:rsidR="008770FE" w:rsidRPr="003E7A82">
        <w:rPr>
          <w:rFonts w:ascii="Times New Roman" w:hAnsi="Times New Roman" w:cs="Times New Roman"/>
          <w:iCs/>
          <w:sz w:val="24"/>
          <w:szCs w:val="24"/>
        </w:rPr>
        <w:t xml:space="preserve"> de </w:t>
      </w:r>
      <w:r w:rsidR="005F7F09" w:rsidRPr="003E7A82">
        <w:rPr>
          <w:rFonts w:ascii="Times New Roman" w:hAnsi="Times New Roman" w:cs="Times New Roman"/>
          <w:iCs/>
          <w:sz w:val="24"/>
          <w:szCs w:val="24"/>
        </w:rPr>
        <w:t>L</w:t>
      </w:r>
      <w:r w:rsidR="008770FE" w:rsidRPr="003E7A82">
        <w:rPr>
          <w:rFonts w:ascii="Times New Roman" w:hAnsi="Times New Roman" w:cs="Times New Roman"/>
          <w:iCs/>
          <w:sz w:val="24"/>
          <w:szCs w:val="24"/>
        </w:rPr>
        <w:t>icenciatura, o bien, a la falta de recursos económicos</w:t>
      </w:r>
      <w:r w:rsidR="00E7051D" w:rsidRPr="003E7A82">
        <w:rPr>
          <w:rFonts w:ascii="Times New Roman" w:hAnsi="Times New Roman" w:cs="Times New Roman"/>
          <w:iCs/>
          <w:sz w:val="24"/>
          <w:szCs w:val="24"/>
        </w:rPr>
        <w:t xml:space="preserve"> con los </w:t>
      </w:r>
      <w:r w:rsidR="008770FE" w:rsidRPr="003E7A82">
        <w:rPr>
          <w:rFonts w:ascii="Times New Roman" w:hAnsi="Times New Roman" w:cs="Times New Roman"/>
          <w:iCs/>
          <w:sz w:val="24"/>
          <w:szCs w:val="24"/>
        </w:rPr>
        <w:t>que</w:t>
      </w:r>
      <w:r w:rsidR="00E7051D" w:rsidRPr="003E7A82">
        <w:rPr>
          <w:rFonts w:ascii="Times New Roman" w:hAnsi="Times New Roman" w:cs="Times New Roman"/>
          <w:iCs/>
          <w:sz w:val="24"/>
          <w:szCs w:val="24"/>
        </w:rPr>
        <w:t xml:space="preserve"> cuenta el estudiante</w:t>
      </w:r>
      <w:r w:rsidR="008770FE" w:rsidRPr="003E7A82">
        <w:rPr>
          <w:rFonts w:ascii="Times New Roman" w:hAnsi="Times New Roman" w:cs="Times New Roman"/>
          <w:iCs/>
          <w:sz w:val="24"/>
          <w:szCs w:val="24"/>
        </w:rPr>
        <w:t xml:space="preserve"> para poder continuar con sus estudios, lo cual se vincula con el aumento a las colegiaturas que las universidades privadas implementan, sin observarse las problemáticas</w:t>
      </w:r>
      <w:r w:rsidR="0091365E" w:rsidRPr="003E7A82">
        <w:rPr>
          <w:rFonts w:ascii="Times New Roman" w:hAnsi="Times New Roman" w:cs="Times New Roman"/>
          <w:iCs/>
          <w:sz w:val="24"/>
          <w:szCs w:val="24"/>
        </w:rPr>
        <w:t xml:space="preserve"> </w:t>
      </w:r>
      <w:r w:rsidR="008770FE" w:rsidRPr="003E7A82">
        <w:rPr>
          <w:rFonts w:ascii="Times New Roman" w:hAnsi="Times New Roman" w:cs="Times New Roman"/>
          <w:iCs/>
          <w:sz w:val="24"/>
          <w:szCs w:val="24"/>
        </w:rPr>
        <w:t xml:space="preserve">socioeconómicas del contexto, </w:t>
      </w:r>
      <w:r w:rsidR="00E7051D" w:rsidRPr="003E7A82">
        <w:rPr>
          <w:rFonts w:ascii="Times New Roman" w:hAnsi="Times New Roman" w:cs="Times New Roman"/>
          <w:iCs/>
          <w:sz w:val="24"/>
          <w:szCs w:val="24"/>
        </w:rPr>
        <w:t xml:space="preserve">ante </w:t>
      </w:r>
      <w:r w:rsidR="008770FE" w:rsidRPr="003E7A82">
        <w:rPr>
          <w:rFonts w:ascii="Times New Roman" w:hAnsi="Times New Roman" w:cs="Times New Roman"/>
          <w:iCs/>
          <w:sz w:val="24"/>
          <w:szCs w:val="24"/>
        </w:rPr>
        <w:t>la búsqueda de</w:t>
      </w:r>
      <w:r w:rsidR="00E7051D" w:rsidRPr="003E7A82">
        <w:rPr>
          <w:rFonts w:ascii="Times New Roman" w:hAnsi="Times New Roman" w:cs="Times New Roman"/>
          <w:iCs/>
          <w:sz w:val="24"/>
          <w:szCs w:val="24"/>
        </w:rPr>
        <w:t xml:space="preserve"> una rentabilidad adecuada</w:t>
      </w:r>
      <w:r w:rsidR="008770FE" w:rsidRPr="003E7A82">
        <w:rPr>
          <w:rFonts w:ascii="Times New Roman" w:hAnsi="Times New Roman" w:cs="Times New Roman"/>
          <w:iCs/>
          <w:sz w:val="24"/>
          <w:szCs w:val="24"/>
        </w:rPr>
        <w:t xml:space="preserve"> para la institución.</w:t>
      </w:r>
    </w:p>
    <w:p w14:paraId="7748BB9A" w14:textId="3B1F33A6" w:rsidR="00E33849" w:rsidRPr="003E7A82" w:rsidRDefault="00EE7A72"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En el citado documento de la OECD (</w:t>
      </w:r>
      <w:r w:rsidR="00E33849" w:rsidRPr="003E7A82">
        <w:rPr>
          <w:rFonts w:ascii="Times New Roman" w:hAnsi="Times New Roman" w:cs="Times New Roman"/>
          <w:iCs/>
          <w:sz w:val="24"/>
          <w:szCs w:val="24"/>
        </w:rPr>
        <w:t xml:space="preserve">Galán-Muros </w:t>
      </w:r>
      <w:r w:rsidR="005F7F09" w:rsidRPr="0014660A">
        <w:rPr>
          <w:rFonts w:ascii="Times New Roman" w:hAnsi="Times New Roman" w:cs="Times New Roman"/>
          <w:iCs/>
          <w:sz w:val="24"/>
          <w:szCs w:val="24"/>
        </w:rPr>
        <w:t>y Hofer</w:t>
      </w:r>
      <w:r w:rsidR="005F7F09" w:rsidRPr="003E7A82">
        <w:rPr>
          <w:rFonts w:ascii="Times New Roman" w:hAnsi="Times New Roman" w:cs="Times New Roman"/>
          <w:iCs/>
          <w:sz w:val="24"/>
          <w:szCs w:val="24"/>
        </w:rPr>
        <w:t xml:space="preserve">, </w:t>
      </w:r>
      <w:r w:rsidR="00E33849" w:rsidRPr="003E7A82">
        <w:rPr>
          <w:rFonts w:ascii="Times New Roman" w:hAnsi="Times New Roman" w:cs="Times New Roman"/>
          <w:iCs/>
          <w:sz w:val="24"/>
          <w:szCs w:val="24"/>
        </w:rPr>
        <w:t xml:space="preserve">2019) </w:t>
      </w:r>
      <w:r w:rsidR="00394824" w:rsidRPr="003E7A82">
        <w:rPr>
          <w:rFonts w:ascii="Times New Roman" w:hAnsi="Times New Roman" w:cs="Times New Roman"/>
          <w:iCs/>
          <w:sz w:val="24"/>
          <w:szCs w:val="24"/>
        </w:rPr>
        <w:t>se hace referencia al</w:t>
      </w:r>
      <w:r w:rsidR="00E33849" w:rsidRPr="003E7A82">
        <w:rPr>
          <w:rFonts w:ascii="Times New Roman" w:hAnsi="Times New Roman" w:cs="Times New Roman"/>
          <w:iCs/>
          <w:sz w:val="24"/>
          <w:szCs w:val="24"/>
        </w:rPr>
        <w:t xml:space="preserve"> caso del servicio social, un requisito obligatorio para la obtención del grado por parte de los estudiantes, que es una práctica que motiva al estudiante a devolver un beneficio a la sociedad que le ha ayudado a su propio desarrollo, pero esto no es suficiente para que sea efectivo, se requiere más análisis, regulación y gestión. De esta manera podrían los estudiantes lograr un mejor balance entre sus actividades laborales y académicas de manera que su educación superior se integre con mayor facilidad a la vida laboral y pueda tener continuidad en el futuro.</w:t>
      </w:r>
    </w:p>
    <w:p w14:paraId="347629EA" w14:textId="77777777" w:rsidR="004D6263" w:rsidRPr="003E7A82" w:rsidRDefault="004D6263" w:rsidP="00E77F98">
      <w:pPr>
        <w:spacing w:before="40" w:after="40" w:line="360" w:lineRule="auto"/>
        <w:jc w:val="both"/>
        <w:rPr>
          <w:rFonts w:ascii="Times New Roman" w:hAnsi="Times New Roman" w:cs="Times New Roman"/>
          <w:iCs/>
          <w:sz w:val="24"/>
          <w:szCs w:val="24"/>
        </w:rPr>
      </w:pPr>
    </w:p>
    <w:p w14:paraId="0DF1B435" w14:textId="18A827CB" w:rsidR="00883530" w:rsidRPr="003E7A82" w:rsidRDefault="00883530" w:rsidP="00E77F98">
      <w:pPr>
        <w:spacing w:before="40" w:after="40" w:line="360" w:lineRule="auto"/>
        <w:jc w:val="center"/>
        <w:rPr>
          <w:rFonts w:ascii="Times New Roman" w:hAnsi="Times New Roman" w:cs="Times New Roman"/>
          <w:b/>
          <w:bCs/>
          <w:iCs/>
          <w:sz w:val="28"/>
          <w:szCs w:val="28"/>
        </w:rPr>
      </w:pPr>
      <w:r w:rsidRPr="003E7A82">
        <w:rPr>
          <w:rFonts w:ascii="Times New Roman" w:hAnsi="Times New Roman" w:cs="Times New Roman"/>
          <w:b/>
          <w:bCs/>
          <w:iCs/>
          <w:sz w:val="28"/>
          <w:szCs w:val="28"/>
        </w:rPr>
        <w:t>Los modelos y programas de estudios mexicanos y los de otros países</w:t>
      </w:r>
    </w:p>
    <w:p w14:paraId="0B3F1D06" w14:textId="7504AC0C" w:rsidR="004864D2" w:rsidRPr="003E7A82" w:rsidRDefault="00563C98"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Existe el paradigma de la Educación Comparada, explicado </w:t>
      </w:r>
      <w:r w:rsidR="00E077C6" w:rsidRPr="003E7A82">
        <w:rPr>
          <w:rFonts w:ascii="Times New Roman" w:hAnsi="Times New Roman" w:cs="Times New Roman"/>
          <w:iCs/>
          <w:sz w:val="24"/>
          <w:szCs w:val="24"/>
        </w:rPr>
        <w:t>por</w:t>
      </w:r>
      <w:r w:rsidR="00A27209" w:rsidRPr="003E7A82">
        <w:rPr>
          <w:rFonts w:ascii="Times New Roman" w:hAnsi="Times New Roman" w:cs="Times New Roman"/>
          <w:iCs/>
          <w:sz w:val="24"/>
          <w:szCs w:val="24"/>
        </w:rPr>
        <w:t xml:space="preserve"> Navarro y Navarrete (2016</w:t>
      </w:r>
      <w:r w:rsidR="005F7F09" w:rsidRPr="003E7A82">
        <w:rPr>
          <w:rFonts w:ascii="Times New Roman" w:hAnsi="Times New Roman" w:cs="Times New Roman"/>
          <w:iCs/>
          <w:sz w:val="24"/>
          <w:szCs w:val="24"/>
        </w:rPr>
        <w:t>,</w:t>
      </w:r>
      <w:r w:rsidR="00A27209" w:rsidRPr="003E7A82">
        <w:rPr>
          <w:rFonts w:ascii="Times New Roman" w:hAnsi="Times New Roman" w:cs="Times New Roman"/>
          <w:iCs/>
          <w:sz w:val="24"/>
          <w:szCs w:val="24"/>
        </w:rPr>
        <w:t xml:space="preserve"> </w:t>
      </w:r>
      <w:r w:rsidR="005F7F09" w:rsidRPr="0014660A">
        <w:rPr>
          <w:rFonts w:ascii="Times New Roman" w:hAnsi="Times New Roman" w:cs="Times New Roman"/>
          <w:iCs/>
          <w:sz w:val="24"/>
          <w:szCs w:val="24"/>
        </w:rPr>
        <w:t>como se citó en</w:t>
      </w:r>
      <w:r w:rsidR="005F7F09" w:rsidRPr="003E7A82">
        <w:rPr>
          <w:rFonts w:ascii="Times New Roman" w:hAnsi="Times New Roman" w:cs="Times New Roman"/>
          <w:iCs/>
          <w:sz w:val="24"/>
          <w:szCs w:val="24"/>
        </w:rPr>
        <w:t xml:space="preserve"> </w:t>
      </w:r>
      <w:r w:rsidR="00A27209" w:rsidRPr="003E7A82">
        <w:rPr>
          <w:rFonts w:ascii="Times New Roman" w:hAnsi="Times New Roman" w:cs="Times New Roman"/>
          <w:iCs/>
          <w:sz w:val="24"/>
          <w:szCs w:val="24"/>
        </w:rPr>
        <w:t>Castelazo, 2016, p.</w:t>
      </w:r>
      <w:r w:rsidR="00125B8B" w:rsidRPr="003E7A82">
        <w:rPr>
          <w:rFonts w:ascii="Times New Roman" w:hAnsi="Times New Roman" w:cs="Times New Roman"/>
          <w:iCs/>
          <w:sz w:val="24"/>
          <w:szCs w:val="24"/>
        </w:rPr>
        <w:t xml:space="preserve"> </w:t>
      </w:r>
      <w:r w:rsidR="00A27209" w:rsidRPr="003E7A82">
        <w:rPr>
          <w:rFonts w:ascii="Times New Roman" w:hAnsi="Times New Roman" w:cs="Times New Roman"/>
          <w:iCs/>
          <w:sz w:val="24"/>
          <w:szCs w:val="24"/>
        </w:rPr>
        <w:t xml:space="preserve">97) </w:t>
      </w:r>
      <w:r w:rsidR="00515E1C" w:rsidRPr="003E7A82">
        <w:rPr>
          <w:rFonts w:ascii="Times New Roman" w:hAnsi="Times New Roman" w:cs="Times New Roman"/>
          <w:iCs/>
          <w:sz w:val="24"/>
          <w:szCs w:val="24"/>
        </w:rPr>
        <w:t>e</w:t>
      </w:r>
      <w:r w:rsidRPr="003E7A82">
        <w:rPr>
          <w:rFonts w:ascii="Times New Roman" w:hAnsi="Times New Roman" w:cs="Times New Roman"/>
          <w:iCs/>
          <w:sz w:val="24"/>
          <w:szCs w:val="24"/>
        </w:rPr>
        <w:t xml:space="preserve">l cual ha tenido repercusión a nivel internacional en </w:t>
      </w:r>
      <w:r w:rsidRPr="003E7A82">
        <w:rPr>
          <w:rFonts w:ascii="Times New Roman" w:hAnsi="Times New Roman" w:cs="Times New Roman"/>
          <w:iCs/>
          <w:sz w:val="24"/>
          <w:szCs w:val="24"/>
        </w:rPr>
        <w:lastRenderedPageBreak/>
        <w:t xml:space="preserve">el </w:t>
      </w:r>
      <w:r w:rsidR="00515E1C" w:rsidRPr="003E7A82">
        <w:rPr>
          <w:rFonts w:ascii="Times New Roman" w:hAnsi="Times New Roman" w:cs="Times New Roman"/>
          <w:iCs/>
          <w:sz w:val="24"/>
          <w:szCs w:val="24"/>
        </w:rPr>
        <w:t>re</w:t>
      </w:r>
      <w:r w:rsidRPr="003E7A82">
        <w:rPr>
          <w:rFonts w:ascii="Times New Roman" w:hAnsi="Times New Roman" w:cs="Times New Roman"/>
          <w:iCs/>
          <w:sz w:val="24"/>
          <w:szCs w:val="24"/>
        </w:rPr>
        <w:t xml:space="preserve">conocido </w:t>
      </w:r>
      <w:r w:rsidRPr="003E7A82">
        <w:rPr>
          <w:rFonts w:ascii="Times New Roman" w:hAnsi="Times New Roman" w:cs="Times New Roman"/>
          <w:i/>
          <w:iCs/>
          <w:sz w:val="24"/>
          <w:szCs w:val="24"/>
        </w:rPr>
        <w:t xml:space="preserve">World Council </w:t>
      </w:r>
      <w:proofErr w:type="spellStart"/>
      <w:r w:rsidRPr="003E7A82">
        <w:rPr>
          <w:rFonts w:ascii="Times New Roman" w:hAnsi="Times New Roman" w:cs="Times New Roman"/>
          <w:i/>
          <w:iCs/>
          <w:sz w:val="24"/>
          <w:szCs w:val="24"/>
        </w:rPr>
        <w:t>of</w:t>
      </w:r>
      <w:proofErr w:type="spellEnd"/>
      <w:r w:rsidRPr="003E7A82">
        <w:rPr>
          <w:rFonts w:ascii="Times New Roman" w:hAnsi="Times New Roman" w:cs="Times New Roman"/>
          <w:i/>
          <w:iCs/>
          <w:sz w:val="24"/>
          <w:szCs w:val="24"/>
        </w:rPr>
        <w:t xml:space="preserve"> Comparative </w:t>
      </w:r>
      <w:proofErr w:type="spellStart"/>
      <w:r w:rsidRPr="003E7A82">
        <w:rPr>
          <w:rFonts w:ascii="Times New Roman" w:hAnsi="Times New Roman" w:cs="Times New Roman"/>
          <w:i/>
          <w:iCs/>
          <w:sz w:val="24"/>
          <w:szCs w:val="24"/>
        </w:rPr>
        <w:t>Education</w:t>
      </w:r>
      <w:proofErr w:type="spellEnd"/>
      <w:r w:rsidRPr="003E7A82">
        <w:rPr>
          <w:rFonts w:ascii="Times New Roman" w:hAnsi="Times New Roman" w:cs="Times New Roman"/>
          <w:i/>
          <w:iCs/>
          <w:sz w:val="24"/>
          <w:szCs w:val="24"/>
        </w:rPr>
        <w:t xml:space="preserve"> </w:t>
      </w:r>
      <w:proofErr w:type="spellStart"/>
      <w:r w:rsidRPr="003E7A82">
        <w:rPr>
          <w:rFonts w:ascii="Times New Roman" w:hAnsi="Times New Roman" w:cs="Times New Roman"/>
          <w:i/>
          <w:iCs/>
          <w:sz w:val="24"/>
          <w:szCs w:val="24"/>
        </w:rPr>
        <w:t>Societies</w:t>
      </w:r>
      <w:proofErr w:type="spellEnd"/>
      <w:r w:rsidRPr="003E7A82">
        <w:rPr>
          <w:rFonts w:ascii="Times New Roman" w:hAnsi="Times New Roman" w:cs="Times New Roman"/>
          <w:iCs/>
          <w:sz w:val="24"/>
          <w:szCs w:val="24"/>
        </w:rPr>
        <w:t xml:space="preserve">, al </w:t>
      </w:r>
      <w:r w:rsidR="00A27209" w:rsidRPr="003E7A82">
        <w:rPr>
          <w:rFonts w:ascii="Times New Roman" w:hAnsi="Times New Roman" w:cs="Times New Roman"/>
          <w:iCs/>
          <w:sz w:val="24"/>
          <w:szCs w:val="24"/>
        </w:rPr>
        <w:t>que</w:t>
      </w:r>
      <w:r w:rsidRPr="003E7A82">
        <w:rPr>
          <w:rFonts w:ascii="Times New Roman" w:hAnsi="Times New Roman" w:cs="Times New Roman"/>
          <w:iCs/>
          <w:sz w:val="24"/>
          <w:szCs w:val="24"/>
        </w:rPr>
        <w:t xml:space="preserve"> está afiliada la Sociedad Mexicana de Educación Comparada (Castelazo, 2016, p.</w:t>
      </w:r>
      <w:r w:rsidR="00125B8B"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100). Este paradigma, afirma la autora es</w:t>
      </w:r>
      <w:r w:rsidR="00A8513F" w:rsidRPr="003E7A82">
        <w:rPr>
          <w:rFonts w:ascii="Times New Roman" w:hAnsi="Times New Roman" w:cs="Times New Roman"/>
          <w:iCs/>
          <w:sz w:val="24"/>
          <w:szCs w:val="24"/>
        </w:rPr>
        <w:t xml:space="preserve"> a</w:t>
      </w:r>
      <w:r w:rsidRPr="003E7A82">
        <w:rPr>
          <w:rFonts w:ascii="Times New Roman" w:hAnsi="Times New Roman" w:cs="Times New Roman"/>
          <w:iCs/>
          <w:sz w:val="24"/>
          <w:szCs w:val="24"/>
        </w:rPr>
        <w:t xml:space="preserve"> veces confundido con la internacionalización de la educación superior </w:t>
      </w:r>
      <w:r w:rsidR="00515E1C" w:rsidRPr="003E7A82">
        <w:rPr>
          <w:rFonts w:ascii="Times New Roman" w:hAnsi="Times New Roman" w:cs="Times New Roman"/>
          <w:iCs/>
          <w:sz w:val="24"/>
          <w:szCs w:val="24"/>
        </w:rPr>
        <w:t xml:space="preserve">como tal, </w:t>
      </w:r>
      <w:r w:rsidR="00A8513F" w:rsidRPr="003E7A82">
        <w:rPr>
          <w:rFonts w:ascii="Times New Roman" w:hAnsi="Times New Roman" w:cs="Times New Roman"/>
          <w:iCs/>
          <w:sz w:val="24"/>
          <w:szCs w:val="24"/>
        </w:rPr>
        <w:t xml:space="preserve">pero </w:t>
      </w:r>
      <w:r w:rsidR="00125B8B" w:rsidRPr="003E7A82">
        <w:rPr>
          <w:rFonts w:ascii="Times New Roman" w:hAnsi="Times New Roman" w:cs="Times New Roman"/>
          <w:iCs/>
          <w:sz w:val="24"/>
          <w:szCs w:val="24"/>
        </w:rPr>
        <w:t>“</w:t>
      </w:r>
      <w:r w:rsidRPr="003E7A82">
        <w:rPr>
          <w:rFonts w:ascii="Times New Roman" w:hAnsi="Times New Roman" w:cs="Times New Roman"/>
          <w:iCs/>
          <w:sz w:val="24"/>
          <w:szCs w:val="24"/>
        </w:rPr>
        <w:t>ofrece innegables oportunidades analíticas para abordar las transformaciones políticas y culturales que globalmente atraviesa este ámbito, el cual es regido por una serie de normatividades derivadas del contexto internacional</w:t>
      </w:r>
      <w:r w:rsidR="00125B8B"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(Castelazo, 2016, p.</w:t>
      </w:r>
      <w:r w:rsidR="00125B8B"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 xml:space="preserve">97), al mismo tiempo abre un espacio </w:t>
      </w:r>
      <w:r w:rsidR="003222BE" w:rsidRPr="003E7A82">
        <w:rPr>
          <w:rFonts w:ascii="Times New Roman" w:hAnsi="Times New Roman" w:cs="Times New Roman"/>
          <w:iCs/>
          <w:sz w:val="24"/>
          <w:szCs w:val="24"/>
        </w:rPr>
        <w:t xml:space="preserve">para </w:t>
      </w:r>
      <w:r w:rsidR="00A27209" w:rsidRPr="003E7A82">
        <w:rPr>
          <w:rFonts w:ascii="Times New Roman" w:hAnsi="Times New Roman" w:cs="Times New Roman"/>
          <w:iCs/>
          <w:sz w:val="24"/>
          <w:szCs w:val="24"/>
        </w:rPr>
        <w:t xml:space="preserve">impulsar una lectura crítica-reflexiva en torno al conjunto de discursos de enfoque epistemológico en evolución que pretende atender diversos desafíos para la sociedad como lo son la globalización, el neoliberalismo y el </w:t>
      </w:r>
      <w:r w:rsidR="00DF7512" w:rsidRPr="003E7A82">
        <w:rPr>
          <w:rFonts w:ascii="Times New Roman" w:hAnsi="Times New Roman" w:cs="Times New Roman"/>
          <w:iCs/>
          <w:sz w:val="24"/>
          <w:szCs w:val="24"/>
        </w:rPr>
        <w:t>‘</w:t>
      </w:r>
      <w:r w:rsidR="00A27209" w:rsidRPr="003E7A82">
        <w:rPr>
          <w:rFonts w:ascii="Times New Roman" w:hAnsi="Times New Roman" w:cs="Times New Roman"/>
          <w:iCs/>
          <w:sz w:val="24"/>
          <w:szCs w:val="24"/>
        </w:rPr>
        <w:t>capitalismo académico</w:t>
      </w:r>
      <w:r w:rsidR="00DF7512" w:rsidRPr="003E7A82">
        <w:rPr>
          <w:rFonts w:ascii="Times New Roman" w:hAnsi="Times New Roman" w:cs="Times New Roman"/>
          <w:iCs/>
          <w:sz w:val="24"/>
          <w:szCs w:val="24"/>
        </w:rPr>
        <w:t>’</w:t>
      </w:r>
      <w:r w:rsidR="00A27209" w:rsidRPr="003E7A82">
        <w:rPr>
          <w:rFonts w:ascii="Times New Roman" w:hAnsi="Times New Roman" w:cs="Times New Roman"/>
          <w:iCs/>
          <w:sz w:val="24"/>
          <w:szCs w:val="24"/>
        </w:rPr>
        <w:t xml:space="preserve">. </w:t>
      </w:r>
    </w:p>
    <w:p w14:paraId="5C2C64DB" w14:textId="3005B8ED" w:rsidR="002965F1" w:rsidRPr="003E7A82" w:rsidRDefault="00A27209"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Lo relevante del análisis </w:t>
      </w:r>
      <w:r w:rsidR="006978E8" w:rsidRPr="003E7A82">
        <w:rPr>
          <w:rFonts w:ascii="Times New Roman" w:hAnsi="Times New Roman" w:cs="Times New Roman"/>
          <w:iCs/>
          <w:sz w:val="24"/>
          <w:szCs w:val="24"/>
        </w:rPr>
        <w:t>de la educación compara</w:t>
      </w:r>
      <w:r w:rsidR="008E3F34" w:rsidRPr="003E7A82">
        <w:rPr>
          <w:rFonts w:ascii="Times New Roman" w:hAnsi="Times New Roman" w:cs="Times New Roman"/>
          <w:iCs/>
          <w:sz w:val="24"/>
          <w:szCs w:val="24"/>
        </w:rPr>
        <w:t>d</w:t>
      </w:r>
      <w:r w:rsidR="006978E8" w:rsidRPr="003E7A82">
        <w:rPr>
          <w:rFonts w:ascii="Times New Roman" w:hAnsi="Times New Roman" w:cs="Times New Roman"/>
          <w:iCs/>
          <w:sz w:val="24"/>
          <w:szCs w:val="24"/>
        </w:rPr>
        <w:t xml:space="preserve">a </w:t>
      </w:r>
      <w:r w:rsidRPr="003E7A82">
        <w:rPr>
          <w:rFonts w:ascii="Times New Roman" w:hAnsi="Times New Roman" w:cs="Times New Roman"/>
          <w:iCs/>
          <w:sz w:val="24"/>
          <w:szCs w:val="24"/>
        </w:rPr>
        <w:t xml:space="preserve">es el intento de articular un estándar a partir del cual se puede obtener lo mejor de la educación superior, sin </w:t>
      </w:r>
      <w:r w:rsidR="002D07E7" w:rsidRPr="003E7A82">
        <w:rPr>
          <w:rFonts w:ascii="Times New Roman" w:hAnsi="Times New Roman" w:cs="Times New Roman"/>
          <w:iCs/>
          <w:sz w:val="24"/>
          <w:szCs w:val="24"/>
        </w:rPr>
        <w:t>embargo,</w:t>
      </w:r>
      <w:r w:rsidR="00A9464D" w:rsidRPr="003E7A82">
        <w:rPr>
          <w:rFonts w:ascii="Times New Roman" w:hAnsi="Times New Roman" w:cs="Times New Roman"/>
          <w:iCs/>
          <w:sz w:val="24"/>
          <w:szCs w:val="24"/>
        </w:rPr>
        <w:t xml:space="preserve"> parece limitar su alcance a </w:t>
      </w:r>
      <w:r w:rsidR="00125B8B"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enfrentar problemáticas existentes que impulsan cambios a nivel nacional relacionados con asuntos curriculares, de gestión escolar, desarrollo docente… que atañen a las propuestas educativas de México, </w:t>
      </w:r>
      <w:bookmarkStart w:id="1" w:name="_Hlk155443288"/>
      <w:r w:rsidRPr="003E7A82">
        <w:rPr>
          <w:rFonts w:ascii="Times New Roman" w:hAnsi="Times New Roman" w:cs="Times New Roman"/>
          <w:iCs/>
          <w:sz w:val="24"/>
          <w:szCs w:val="24"/>
        </w:rPr>
        <w:t>Brasil, Costa Rica, Colombia, Argentina, Chile, España y Finlandia</w:t>
      </w:r>
      <w:bookmarkEnd w:id="1"/>
      <w:r w:rsidR="00125B8B"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(Castelazo, 2016, p.</w:t>
      </w:r>
      <w:r w:rsidR="00551E8E"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9</w:t>
      </w:r>
      <w:r w:rsidR="0020597F" w:rsidRPr="003E7A82">
        <w:rPr>
          <w:rFonts w:ascii="Times New Roman" w:hAnsi="Times New Roman" w:cs="Times New Roman"/>
          <w:iCs/>
          <w:sz w:val="24"/>
          <w:szCs w:val="24"/>
        </w:rPr>
        <w:t>8</w:t>
      </w:r>
      <w:r w:rsidRPr="003E7A82">
        <w:rPr>
          <w:rFonts w:ascii="Times New Roman" w:hAnsi="Times New Roman" w:cs="Times New Roman"/>
          <w:iCs/>
          <w:sz w:val="24"/>
          <w:szCs w:val="24"/>
        </w:rPr>
        <w:t>)</w:t>
      </w:r>
      <w:r w:rsidR="0020597F" w:rsidRPr="003E7A82">
        <w:rPr>
          <w:rFonts w:ascii="Times New Roman" w:hAnsi="Times New Roman" w:cs="Times New Roman"/>
          <w:iCs/>
          <w:sz w:val="24"/>
          <w:szCs w:val="24"/>
        </w:rPr>
        <w:t>.</w:t>
      </w:r>
      <w:r w:rsidR="009A6269" w:rsidRPr="003E7A82">
        <w:rPr>
          <w:rFonts w:ascii="Times New Roman" w:hAnsi="Times New Roman" w:cs="Times New Roman"/>
          <w:iCs/>
          <w:sz w:val="24"/>
          <w:szCs w:val="24"/>
        </w:rPr>
        <w:t xml:space="preserve"> Es importante la cita del modelo </w:t>
      </w:r>
      <w:r w:rsidR="006B1E36" w:rsidRPr="003E7A82">
        <w:rPr>
          <w:rFonts w:ascii="Times New Roman" w:hAnsi="Times New Roman" w:cs="Times New Roman"/>
          <w:iCs/>
          <w:sz w:val="24"/>
          <w:szCs w:val="24"/>
        </w:rPr>
        <w:t>f</w:t>
      </w:r>
      <w:r w:rsidR="009A6269" w:rsidRPr="003E7A82">
        <w:rPr>
          <w:rFonts w:ascii="Times New Roman" w:hAnsi="Times New Roman" w:cs="Times New Roman"/>
          <w:iCs/>
          <w:sz w:val="24"/>
          <w:szCs w:val="24"/>
        </w:rPr>
        <w:t>inlandés de educación, el cual no sólo alcanzó el más alto ranking de la prueba Piza en el 2015 (IMSC, 2019)</w:t>
      </w:r>
      <w:r w:rsidR="005865E9" w:rsidRPr="003E7A82">
        <w:rPr>
          <w:rFonts w:ascii="Times New Roman" w:hAnsi="Times New Roman" w:cs="Times New Roman"/>
          <w:iCs/>
          <w:sz w:val="24"/>
          <w:szCs w:val="24"/>
        </w:rPr>
        <w:t xml:space="preserve">, sino que además ofrece una educación orientada a la formación profesional, que permite al estudiante ingresar a la educación superior formando parte </w:t>
      </w:r>
      <w:r w:rsidR="006E302B" w:rsidRPr="003E7A82">
        <w:rPr>
          <w:rFonts w:ascii="Times New Roman" w:hAnsi="Times New Roman" w:cs="Times New Roman"/>
          <w:iCs/>
          <w:sz w:val="24"/>
          <w:szCs w:val="24"/>
        </w:rPr>
        <w:t xml:space="preserve">del </w:t>
      </w:r>
      <w:r w:rsidR="005865E9" w:rsidRPr="003E7A82">
        <w:rPr>
          <w:rFonts w:ascii="Times New Roman" w:hAnsi="Times New Roman" w:cs="Times New Roman"/>
          <w:iCs/>
          <w:sz w:val="24"/>
          <w:szCs w:val="24"/>
        </w:rPr>
        <w:t xml:space="preserve">mercado laboral o bien como </w:t>
      </w:r>
      <w:r w:rsidR="00125B8B" w:rsidRPr="003E7A82">
        <w:rPr>
          <w:rFonts w:ascii="Times New Roman" w:hAnsi="Times New Roman" w:cs="Times New Roman"/>
          <w:iCs/>
          <w:sz w:val="24"/>
          <w:szCs w:val="24"/>
        </w:rPr>
        <w:t>“</w:t>
      </w:r>
      <w:r w:rsidR="005865E9" w:rsidRPr="003E7A82">
        <w:rPr>
          <w:rFonts w:ascii="Times New Roman" w:hAnsi="Times New Roman" w:cs="Times New Roman"/>
          <w:iCs/>
          <w:sz w:val="24"/>
          <w:szCs w:val="24"/>
        </w:rPr>
        <w:t xml:space="preserve">vinculada a la práctica y proporciona a sus estudiantes los conocimientos necesarios para el mundo del trabajo… </w:t>
      </w:r>
      <w:r w:rsidR="00161385" w:rsidRPr="003E7A82">
        <w:rPr>
          <w:rFonts w:ascii="Times New Roman" w:hAnsi="Times New Roman" w:cs="Times New Roman"/>
          <w:iCs/>
          <w:sz w:val="24"/>
          <w:szCs w:val="24"/>
        </w:rPr>
        <w:t>t</w:t>
      </w:r>
      <w:r w:rsidR="005865E9" w:rsidRPr="003E7A82">
        <w:rPr>
          <w:rFonts w:ascii="Times New Roman" w:hAnsi="Times New Roman" w:cs="Times New Roman"/>
          <w:iCs/>
          <w:sz w:val="24"/>
          <w:szCs w:val="24"/>
        </w:rPr>
        <w:t>ras la formación profesional, es posible empezar a trabajar o intentar ingresar en un centro de educación superior</w:t>
      </w:r>
      <w:r w:rsidR="00125B8B" w:rsidRPr="003E7A82">
        <w:rPr>
          <w:rFonts w:ascii="Times New Roman" w:hAnsi="Times New Roman" w:cs="Times New Roman"/>
          <w:iCs/>
          <w:sz w:val="24"/>
          <w:szCs w:val="24"/>
        </w:rPr>
        <w:t>”</w:t>
      </w:r>
      <w:r w:rsidR="005865E9" w:rsidRPr="003E7A82">
        <w:rPr>
          <w:rFonts w:ascii="Times New Roman" w:hAnsi="Times New Roman" w:cs="Times New Roman"/>
          <w:iCs/>
          <w:sz w:val="24"/>
          <w:szCs w:val="24"/>
        </w:rPr>
        <w:t xml:space="preserve"> (</w:t>
      </w:r>
      <w:proofErr w:type="spellStart"/>
      <w:r w:rsidR="005865E9" w:rsidRPr="003E7A82">
        <w:rPr>
          <w:rFonts w:ascii="Times New Roman" w:hAnsi="Times New Roman" w:cs="Times New Roman"/>
          <w:iCs/>
          <w:sz w:val="24"/>
          <w:szCs w:val="24"/>
        </w:rPr>
        <w:t>Infofinland</w:t>
      </w:r>
      <w:proofErr w:type="spellEnd"/>
      <w:r w:rsidR="005865E9" w:rsidRPr="003E7A82">
        <w:rPr>
          <w:rFonts w:ascii="Times New Roman" w:hAnsi="Times New Roman" w:cs="Times New Roman"/>
          <w:iCs/>
          <w:sz w:val="24"/>
          <w:szCs w:val="24"/>
        </w:rPr>
        <w:t>, 20</w:t>
      </w:r>
      <w:r w:rsidR="00A03EED" w:rsidRPr="003E7A82">
        <w:rPr>
          <w:rFonts w:ascii="Times New Roman" w:hAnsi="Times New Roman" w:cs="Times New Roman"/>
          <w:iCs/>
          <w:sz w:val="24"/>
          <w:szCs w:val="24"/>
        </w:rPr>
        <w:t>23)</w:t>
      </w:r>
      <w:r w:rsidR="005865E9" w:rsidRPr="003E7A82">
        <w:rPr>
          <w:rFonts w:ascii="Times New Roman" w:hAnsi="Times New Roman" w:cs="Times New Roman"/>
          <w:iCs/>
          <w:sz w:val="24"/>
          <w:szCs w:val="24"/>
        </w:rPr>
        <w:t>.</w:t>
      </w:r>
      <w:r w:rsidR="00FA0C45" w:rsidRPr="003E7A82">
        <w:rPr>
          <w:rFonts w:ascii="Times New Roman" w:hAnsi="Times New Roman" w:cs="Times New Roman"/>
          <w:iCs/>
          <w:sz w:val="24"/>
          <w:szCs w:val="24"/>
        </w:rPr>
        <w:t xml:space="preserve"> Más impactante aún es el modelo educativo noruego, </w:t>
      </w:r>
      <w:r w:rsidR="003B520E" w:rsidRPr="003E7A82">
        <w:rPr>
          <w:rFonts w:ascii="Times New Roman" w:hAnsi="Times New Roman" w:cs="Times New Roman"/>
          <w:iCs/>
          <w:sz w:val="24"/>
          <w:szCs w:val="24"/>
        </w:rPr>
        <w:t>se trata de un modelo innovador que se enfoca en el bienestar escolar</w:t>
      </w:r>
      <w:r w:rsidR="001F0F74" w:rsidRPr="003E7A82">
        <w:rPr>
          <w:rFonts w:ascii="Times New Roman" w:hAnsi="Times New Roman" w:cs="Times New Roman"/>
          <w:iCs/>
          <w:sz w:val="24"/>
          <w:szCs w:val="24"/>
        </w:rPr>
        <w:t>,</w:t>
      </w:r>
      <w:r w:rsidR="00C47DA5" w:rsidRPr="003E7A82">
        <w:rPr>
          <w:rFonts w:ascii="Times New Roman" w:hAnsi="Times New Roman" w:cs="Times New Roman"/>
          <w:iCs/>
          <w:sz w:val="24"/>
          <w:szCs w:val="24"/>
        </w:rPr>
        <w:t xml:space="preserve"> </w:t>
      </w:r>
      <w:r w:rsidR="001F0F74" w:rsidRPr="003E7A82">
        <w:rPr>
          <w:rFonts w:ascii="Times New Roman" w:hAnsi="Times New Roman" w:cs="Times New Roman"/>
          <w:iCs/>
          <w:sz w:val="24"/>
          <w:szCs w:val="24"/>
        </w:rPr>
        <w:t xml:space="preserve">donde la educación es </w:t>
      </w:r>
      <w:r w:rsidR="00F00BC1" w:rsidRPr="003E7A82">
        <w:rPr>
          <w:rFonts w:ascii="Times New Roman" w:hAnsi="Times New Roman" w:cs="Times New Roman"/>
          <w:iCs/>
          <w:sz w:val="24"/>
          <w:szCs w:val="24"/>
        </w:rPr>
        <w:t>para todos, nacionales y extranjeros por ley al menos por 13 años</w:t>
      </w:r>
      <w:r w:rsidR="00BE079D" w:rsidRPr="003E7A82">
        <w:rPr>
          <w:rFonts w:ascii="Times New Roman" w:hAnsi="Times New Roman" w:cs="Times New Roman"/>
          <w:iCs/>
          <w:sz w:val="24"/>
          <w:szCs w:val="24"/>
        </w:rPr>
        <w:t>, l</w:t>
      </w:r>
      <w:r w:rsidR="000058B3" w:rsidRPr="003E7A82">
        <w:rPr>
          <w:rFonts w:ascii="Times New Roman" w:hAnsi="Times New Roman" w:cs="Times New Roman"/>
          <w:iCs/>
          <w:sz w:val="24"/>
          <w:szCs w:val="24"/>
        </w:rPr>
        <w:t xml:space="preserve">a educación consta de </w:t>
      </w:r>
      <w:r w:rsidR="00BE079D" w:rsidRPr="003E7A82">
        <w:rPr>
          <w:rFonts w:ascii="Times New Roman" w:hAnsi="Times New Roman" w:cs="Times New Roman"/>
          <w:iCs/>
          <w:sz w:val="24"/>
          <w:szCs w:val="24"/>
        </w:rPr>
        <w:t>cuatro niveles</w:t>
      </w:r>
      <w:r w:rsidR="00E90BC0" w:rsidRPr="003E7A82">
        <w:rPr>
          <w:rFonts w:ascii="Times New Roman" w:hAnsi="Times New Roman" w:cs="Times New Roman"/>
          <w:iCs/>
          <w:sz w:val="24"/>
          <w:szCs w:val="24"/>
        </w:rPr>
        <w:t>:</w:t>
      </w:r>
      <w:r w:rsidR="00BE079D" w:rsidRPr="003E7A82">
        <w:rPr>
          <w:rFonts w:ascii="Times New Roman" w:hAnsi="Times New Roman" w:cs="Times New Roman"/>
          <w:iCs/>
          <w:sz w:val="24"/>
          <w:szCs w:val="24"/>
        </w:rPr>
        <w:t xml:space="preserve"> la escuela para niños o</w:t>
      </w:r>
      <w:r w:rsidR="000058B3" w:rsidRPr="003E7A82">
        <w:rPr>
          <w:rFonts w:ascii="Times New Roman" w:hAnsi="Times New Roman" w:cs="Times New Roman"/>
          <w:iCs/>
          <w:sz w:val="24"/>
          <w:szCs w:val="24"/>
        </w:rPr>
        <w:t xml:space="preserve"> </w:t>
      </w:r>
      <w:proofErr w:type="spellStart"/>
      <w:r w:rsidR="00330F0D" w:rsidRPr="003E7A82">
        <w:rPr>
          <w:rFonts w:ascii="Times New Roman" w:hAnsi="Times New Roman" w:cs="Times New Roman"/>
          <w:i/>
          <w:sz w:val="24"/>
          <w:szCs w:val="24"/>
        </w:rPr>
        <w:t>b</w:t>
      </w:r>
      <w:r w:rsidR="000058B3" w:rsidRPr="003E7A82">
        <w:rPr>
          <w:rFonts w:ascii="Times New Roman" w:hAnsi="Times New Roman" w:cs="Times New Roman"/>
          <w:i/>
          <w:sz w:val="24"/>
          <w:szCs w:val="24"/>
        </w:rPr>
        <w:t>arneskole</w:t>
      </w:r>
      <w:proofErr w:type="spellEnd"/>
      <w:r w:rsidR="00BE079D" w:rsidRPr="003E7A82">
        <w:rPr>
          <w:rFonts w:ascii="Times New Roman" w:hAnsi="Times New Roman" w:cs="Times New Roman"/>
          <w:iCs/>
          <w:sz w:val="24"/>
          <w:szCs w:val="24"/>
        </w:rPr>
        <w:t>,</w:t>
      </w:r>
      <w:r w:rsidR="008130E3" w:rsidRPr="003E7A82">
        <w:rPr>
          <w:rFonts w:ascii="Times New Roman" w:hAnsi="Times New Roman" w:cs="Times New Roman"/>
          <w:iCs/>
          <w:sz w:val="24"/>
          <w:szCs w:val="24"/>
        </w:rPr>
        <w:t xml:space="preserve"> la educación para jóvenes o</w:t>
      </w:r>
      <w:r w:rsidR="000058B3" w:rsidRPr="003E7A82">
        <w:rPr>
          <w:rFonts w:ascii="Times New Roman" w:hAnsi="Times New Roman" w:cs="Times New Roman"/>
          <w:iCs/>
          <w:sz w:val="24"/>
          <w:szCs w:val="24"/>
        </w:rPr>
        <w:t xml:space="preserve"> </w:t>
      </w:r>
      <w:proofErr w:type="spellStart"/>
      <w:r w:rsidR="00E90BC0" w:rsidRPr="003E7A82">
        <w:rPr>
          <w:rFonts w:ascii="Times New Roman" w:hAnsi="Times New Roman" w:cs="Times New Roman"/>
          <w:i/>
          <w:sz w:val="24"/>
          <w:szCs w:val="24"/>
        </w:rPr>
        <w:t>u</w:t>
      </w:r>
      <w:r w:rsidR="000058B3" w:rsidRPr="003E7A82">
        <w:rPr>
          <w:rFonts w:ascii="Times New Roman" w:hAnsi="Times New Roman" w:cs="Times New Roman"/>
          <w:i/>
          <w:sz w:val="24"/>
          <w:szCs w:val="24"/>
        </w:rPr>
        <w:t>ngdomsskole</w:t>
      </w:r>
      <w:proofErr w:type="spellEnd"/>
      <w:r w:rsidR="008130E3" w:rsidRPr="003E7A82">
        <w:rPr>
          <w:rFonts w:ascii="Times New Roman" w:hAnsi="Times New Roman" w:cs="Times New Roman"/>
          <w:iCs/>
          <w:sz w:val="24"/>
          <w:szCs w:val="24"/>
        </w:rPr>
        <w:t xml:space="preserve">, </w:t>
      </w:r>
      <w:r w:rsidR="00330F0D" w:rsidRPr="003E7A82">
        <w:rPr>
          <w:rFonts w:ascii="Times New Roman" w:hAnsi="Times New Roman" w:cs="Times New Roman"/>
          <w:iCs/>
          <w:sz w:val="24"/>
          <w:szCs w:val="24"/>
        </w:rPr>
        <w:t>la escuela preparatoria o</w:t>
      </w:r>
      <w:r w:rsidR="000058B3" w:rsidRPr="003E7A82">
        <w:rPr>
          <w:rFonts w:ascii="Times New Roman" w:hAnsi="Times New Roman" w:cs="Times New Roman"/>
          <w:iCs/>
          <w:sz w:val="24"/>
          <w:szCs w:val="24"/>
        </w:rPr>
        <w:t xml:space="preserve"> </w:t>
      </w:r>
      <w:proofErr w:type="spellStart"/>
      <w:r w:rsidR="000058B3" w:rsidRPr="003E7A82">
        <w:rPr>
          <w:rFonts w:ascii="Times New Roman" w:hAnsi="Times New Roman" w:cs="Times New Roman"/>
          <w:i/>
          <w:sz w:val="24"/>
          <w:szCs w:val="24"/>
        </w:rPr>
        <w:t>videregaende</w:t>
      </w:r>
      <w:proofErr w:type="spellEnd"/>
      <w:r w:rsidR="000058B3" w:rsidRPr="003E7A82">
        <w:rPr>
          <w:rFonts w:ascii="Times New Roman" w:hAnsi="Times New Roman" w:cs="Times New Roman"/>
          <w:i/>
          <w:sz w:val="24"/>
          <w:szCs w:val="24"/>
        </w:rPr>
        <w:t xml:space="preserve"> </w:t>
      </w:r>
      <w:proofErr w:type="spellStart"/>
      <w:r w:rsidR="000058B3" w:rsidRPr="003E7A82">
        <w:rPr>
          <w:rFonts w:ascii="Times New Roman" w:hAnsi="Times New Roman" w:cs="Times New Roman"/>
          <w:i/>
          <w:sz w:val="24"/>
          <w:szCs w:val="24"/>
        </w:rPr>
        <w:t>skole</w:t>
      </w:r>
      <w:proofErr w:type="spellEnd"/>
      <w:r w:rsidR="00E90BC0" w:rsidRPr="003E7A82">
        <w:rPr>
          <w:rFonts w:ascii="Times New Roman" w:hAnsi="Times New Roman" w:cs="Times New Roman"/>
          <w:iCs/>
          <w:sz w:val="24"/>
          <w:szCs w:val="24"/>
        </w:rPr>
        <w:t xml:space="preserve"> y la e</w:t>
      </w:r>
      <w:r w:rsidR="000058B3" w:rsidRPr="003E7A82">
        <w:rPr>
          <w:rFonts w:ascii="Times New Roman" w:hAnsi="Times New Roman" w:cs="Times New Roman"/>
          <w:iCs/>
          <w:sz w:val="24"/>
          <w:szCs w:val="24"/>
        </w:rPr>
        <w:t xml:space="preserve">ducación </w:t>
      </w:r>
      <w:r w:rsidR="00E90BC0" w:rsidRPr="003E7A82">
        <w:rPr>
          <w:rFonts w:ascii="Times New Roman" w:hAnsi="Times New Roman" w:cs="Times New Roman"/>
          <w:iCs/>
          <w:sz w:val="24"/>
          <w:szCs w:val="24"/>
        </w:rPr>
        <w:t>s</w:t>
      </w:r>
      <w:r w:rsidR="000058B3" w:rsidRPr="003E7A82">
        <w:rPr>
          <w:rFonts w:ascii="Times New Roman" w:hAnsi="Times New Roman" w:cs="Times New Roman"/>
          <w:iCs/>
          <w:sz w:val="24"/>
          <w:szCs w:val="24"/>
        </w:rPr>
        <w:t>uperior</w:t>
      </w:r>
      <w:r w:rsidR="001343CD" w:rsidRPr="003E7A82">
        <w:rPr>
          <w:rFonts w:ascii="Times New Roman" w:hAnsi="Times New Roman" w:cs="Times New Roman"/>
          <w:iCs/>
          <w:sz w:val="24"/>
          <w:szCs w:val="24"/>
        </w:rPr>
        <w:t xml:space="preserve"> que tiene lugar en centros de estudio públicos y privados (Centro de Estudios Cervantinos, 2020). Adicionalmente </w:t>
      </w:r>
      <w:r w:rsidR="00C178E1" w:rsidRPr="003E7A82">
        <w:rPr>
          <w:rFonts w:ascii="Times New Roman" w:hAnsi="Times New Roman" w:cs="Times New Roman"/>
          <w:iCs/>
          <w:sz w:val="24"/>
          <w:szCs w:val="24"/>
        </w:rPr>
        <w:t xml:space="preserve">en Noruega y en los demás países escandinavos </w:t>
      </w:r>
      <w:r w:rsidR="001343CD" w:rsidRPr="003E7A82">
        <w:rPr>
          <w:rFonts w:ascii="Times New Roman" w:hAnsi="Times New Roman" w:cs="Times New Roman"/>
          <w:iCs/>
          <w:sz w:val="24"/>
          <w:szCs w:val="24"/>
        </w:rPr>
        <w:t>se cuenta con un</w:t>
      </w:r>
      <w:r w:rsidR="005A0DFC" w:rsidRPr="003E7A82">
        <w:rPr>
          <w:rFonts w:ascii="Times New Roman" w:hAnsi="Times New Roman" w:cs="Times New Roman"/>
          <w:iCs/>
          <w:sz w:val="24"/>
          <w:szCs w:val="24"/>
        </w:rPr>
        <w:t xml:space="preserve">a opción entre el nivel preparatoria y el nivel superior conocido como </w:t>
      </w:r>
      <w:r w:rsidR="00C178E1" w:rsidRPr="003E7A82">
        <w:rPr>
          <w:rFonts w:ascii="Times New Roman" w:hAnsi="Times New Roman" w:cs="Times New Roman"/>
          <w:iCs/>
          <w:sz w:val="24"/>
          <w:szCs w:val="24"/>
        </w:rPr>
        <w:t xml:space="preserve">institutos populares o </w:t>
      </w:r>
      <w:proofErr w:type="spellStart"/>
      <w:r w:rsidR="005A0DFC" w:rsidRPr="003E7A82">
        <w:rPr>
          <w:rFonts w:ascii="Times New Roman" w:hAnsi="Times New Roman" w:cs="Times New Roman"/>
          <w:i/>
          <w:sz w:val="24"/>
          <w:szCs w:val="24"/>
        </w:rPr>
        <w:t>folkehoyskole</w:t>
      </w:r>
      <w:proofErr w:type="spellEnd"/>
      <w:r w:rsidR="00405AD0" w:rsidRPr="003E7A82">
        <w:rPr>
          <w:rFonts w:ascii="Times New Roman" w:hAnsi="Times New Roman" w:cs="Times New Roman"/>
          <w:iCs/>
          <w:sz w:val="24"/>
          <w:szCs w:val="24"/>
        </w:rPr>
        <w:t xml:space="preserve">, </w:t>
      </w:r>
      <w:r w:rsidR="008E0981" w:rsidRPr="003E7A82">
        <w:rPr>
          <w:rFonts w:ascii="Times New Roman" w:hAnsi="Times New Roman" w:cs="Times New Roman"/>
          <w:iCs/>
          <w:sz w:val="24"/>
          <w:szCs w:val="24"/>
        </w:rPr>
        <w:t xml:space="preserve">su enfoque pedagógico está en la motivación de los estudiantes, por eso no hacen exámenes ni dan calificaciones </w:t>
      </w:r>
      <w:r w:rsidR="00405AD0" w:rsidRPr="003E7A82">
        <w:rPr>
          <w:rFonts w:ascii="Times New Roman" w:hAnsi="Times New Roman" w:cs="Times New Roman"/>
          <w:iCs/>
          <w:sz w:val="24"/>
          <w:szCs w:val="24"/>
        </w:rPr>
        <w:t>en el que no se obtiene un grado como tal y sirve para recibir a estudiantes que no sabían que estudiar, que no fueron aceptados en ese periodo a un</w:t>
      </w:r>
      <w:r w:rsidR="00AF42F9" w:rsidRPr="003E7A82">
        <w:rPr>
          <w:rFonts w:ascii="Times New Roman" w:hAnsi="Times New Roman" w:cs="Times New Roman"/>
          <w:iCs/>
          <w:sz w:val="24"/>
          <w:szCs w:val="24"/>
        </w:rPr>
        <w:t xml:space="preserve"> centro de educación superior o </w:t>
      </w:r>
      <w:r w:rsidR="00562AB7" w:rsidRPr="003E7A82">
        <w:rPr>
          <w:rFonts w:ascii="Times New Roman" w:hAnsi="Times New Roman" w:cs="Times New Roman"/>
          <w:iCs/>
          <w:sz w:val="24"/>
          <w:szCs w:val="24"/>
        </w:rPr>
        <w:t>que,</w:t>
      </w:r>
      <w:r w:rsidR="00AF42F9" w:rsidRPr="003E7A82">
        <w:rPr>
          <w:rFonts w:ascii="Times New Roman" w:hAnsi="Times New Roman" w:cs="Times New Roman"/>
          <w:iCs/>
          <w:sz w:val="24"/>
          <w:szCs w:val="24"/>
        </w:rPr>
        <w:t xml:space="preserve"> por </w:t>
      </w:r>
      <w:r w:rsidR="00032E50" w:rsidRPr="003E7A82">
        <w:rPr>
          <w:rFonts w:ascii="Times New Roman" w:hAnsi="Times New Roman" w:cs="Times New Roman"/>
          <w:iCs/>
          <w:sz w:val="24"/>
          <w:szCs w:val="24"/>
        </w:rPr>
        <w:t xml:space="preserve">alguna </w:t>
      </w:r>
      <w:r w:rsidR="00AF42F9" w:rsidRPr="003E7A82">
        <w:rPr>
          <w:rFonts w:ascii="Times New Roman" w:hAnsi="Times New Roman" w:cs="Times New Roman"/>
          <w:iCs/>
          <w:sz w:val="24"/>
          <w:szCs w:val="24"/>
        </w:rPr>
        <w:t>otra causa como</w:t>
      </w:r>
      <w:r w:rsidR="00032E50" w:rsidRPr="003E7A82">
        <w:rPr>
          <w:rFonts w:ascii="Times New Roman" w:hAnsi="Times New Roman" w:cs="Times New Roman"/>
          <w:iCs/>
          <w:sz w:val="24"/>
          <w:szCs w:val="24"/>
        </w:rPr>
        <w:t xml:space="preserve"> la participación en el servicio militar</w:t>
      </w:r>
      <w:r w:rsidR="00A35F9B" w:rsidRPr="003E7A82">
        <w:rPr>
          <w:rFonts w:ascii="Times New Roman" w:hAnsi="Times New Roman" w:cs="Times New Roman"/>
          <w:iCs/>
          <w:sz w:val="24"/>
          <w:szCs w:val="24"/>
        </w:rPr>
        <w:t xml:space="preserve"> obligatorio</w:t>
      </w:r>
      <w:r w:rsidR="00032E50" w:rsidRPr="003E7A82">
        <w:rPr>
          <w:rFonts w:ascii="Times New Roman" w:hAnsi="Times New Roman" w:cs="Times New Roman"/>
          <w:iCs/>
          <w:sz w:val="24"/>
          <w:szCs w:val="24"/>
        </w:rPr>
        <w:t>, les hizo perder el año</w:t>
      </w:r>
      <w:r w:rsidR="00E67F77" w:rsidRPr="003E7A82">
        <w:rPr>
          <w:rFonts w:ascii="Times New Roman" w:hAnsi="Times New Roman" w:cs="Times New Roman"/>
          <w:iCs/>
          <w:sz w:val="24"/>
          <w:szCs w:val="24"/>
        </w:rPr>
        <w:t xml:space="preserve"> pero descansan en principio de que ‘se aprende más si se quiere aprender</w:t>
      </w:r>
      <w:r w:rsidR="005F75F0" w:rsidRPr="003E7A82">
        <w:rPr>
          <w:rFonts w:ascii="Times New Roman" w:hAnsi="Times New Roman" w:cs="Times New Roman"/>
          <w:iCs/>
          <w:sz w:val="24"/>
          <w:szCs w:val="24"/>
        </w:rPr>
        <w:t>’</w:t>
      </w:r>
      <w:r w:rsidR="0036362B" w:rsidRPr="003E7A82">
        <w:rPr>
          <w:rFonts w:ascii="Times New Roman" w:hAnsi="Times New Roman" w:cs="Times New Roman"/>
          <w:iCs/>
          <w:sz w:val="24"/>
          <w:szCs w:val="24"/>
        </w:rPr>
        <w:t xml:space="preserve"> y reciben estudiantes de todo el mundo, ya sea porque </w:t>
      </w:r>
      <w:r w:rsidR="00FC3F5F" w:rsidRPr="003E7A82">
        <w:rPr>
          <w:rFonts w:ascii="Times New Roman" w:hAnsi="Times New Roman" w:cs="Times New Roman"/>
          <w:iCs/>
          <w:sz w:val="24"/>
          <w:szCs w:val="24"/>
        </w:rPr>
        <w:lastRenderedPageBreak/>
        <w:t>desean aprender el idioma o bien porque</w:t>
      </w:r>
      <w:r w:rsidR="00542891" w:rsidRPr="003E7A82">
        <w:rPr>
          <w:rFonts w:ascii="Times New Roman" w:hAnsi="Times New Roman" w:cs="Times New Roman"/>
          <w:iCs/>
          <w:sz w:val="24"/>
          <w:szCs w:val="24"/>
        </w:rPr>
        <w:t xml:space="preserve"> desean vivir en ese país más tarde</w:t>
      </w:r>
      <w:r w:rsidR="00076A86" w:rsidRPr="003E7A82">
        <w:rPr>
          <w:rFonts w:ascii="Times New Roman" w:hAnsi="Times New Roman" w:cs="Times New Roman"/>
          <w:iCs/>
          <w:sz w:val="24"/>
          <w:szCs w:val="24"/>
        </w:rPr>
        <w:t>, lo que</w:t>
      </w:r>
      <w:r w:rsidR="00542891" w:rsidRPr="003E7A82">
        <w:rPr>
          <w:rFonts w:ascii="Times New Roman" w:hAnsi="Times New Roman" w:cs="Times New Roman"/>
          <w:iCs/>
          <w:sz w:val="24"/>
          <w:szCs w:val="24"/>
        </w:rPr>
        <w:t xml:space="preserve"> añaden una interesante diversidad en la escuela y </w:t>
      </w:r>
      <w:r w:rsidR="00076A86" w:rsidRPr="003E7A82">
        <w:rPr>
          <w:rFonts w:ascii="Times New Roman" w:hAnsi="Times New Roman" w:cs="Times New Roman"/>
          <w:iCs/>
          <w:sz w:val="24"/>
          <w:szCs w:val="24"/>
        </w:rPr>
        <w:t>ofrece</w:t>
      </w:r>
      <w:r w:rsidR="00542891" w:rsidRPr="003E7A82">
        <w:rPr>
          <w:rFonts w:ascii="Times New Roman" w:hAnsi="Times New Roman" w:cs="Times New Roman"/>
          <w:iCs/>
          <w:sz w:val="24"/>
          <w:szCs w:val="24"/>
        </w:rPr>
        <w:t xml:space="preserve"> nuevos conocimientos sobre cómo los estudiantes noruegos ven el mundo</w:t>
      </w:r>
      <w:r w:rsidR="00871536" w:rsidRPr="003E7A82">
        <w:rPr>
          <w:rFonts w:ascii="Times New Roman" w:hAnsi="Times New Roman" w:cs="Times New Roman"/>
          <w:iCs/>
          <w:sz w:val="24"/>
          <w:szCs w:val="24"/>
        </w:rPr>
        <w:t>, i.e. ven a la internacionalización como un elemento esencial de la educación</w:t>
      </w:r>
      <w:r w:rsidR="005055C6" w:rsidRPr="003E7A82">
        <w:rPr>
          <w:rFonts w:ascii="Times New Roman" w:hAnsi="Times New Roman" w:cs="Times New Roman"/>
          <w:iCs/>
          <w:sz w:val="24"/>
          <w:szCs w:val="24"/>
        </w:rPr>
        <w:t>, ya que los estudiantes</w:t>
      </w:r>
      <w:r w:rsidR="00542891" w:rsidRPr="003E7A82">
        <w:rPr>
          <w:rFonts w:ascii="Times New Roman" w:hAnsi="Times New Roman" w:cs="Times New Roman"/>
          <w:iCs/>
          <w:sz w:val="24"/>
          <w:szCs w:val="24"/>
        </w:rPr>
        <w:t xml:space="preserve"> vive</w:t>
      </w:r>
      <w:r w:rsidR="005055C6" w:rsidRPr="003E7A82">
        <w:rPr>
          <w:rFonts w:ascii="Times New Roman" w:hAnsi="Times New Roman" w:cs="Times New Roman"/>
          <w:iCs/>
          <w:sz w:val="24"/>
          <w:szCs w:val="24"/>
        </w:rPr>
        <w:t>n</w:t>
      </w:r>
      <w:r w:rsidR="00542891" w:rsidRPr="003E7A82">
        <w:rPr>
          <w:rFonts w:ascii="Times New Roman" w:hAnsi="Times New Roman" w:cs="Times New Roman"/>
          <w:iCs/>
          <w:sz w:val="24"/>
          <w:szCs w:val="24"/>
        </w:rPr>
        <w:t xml:space="preserve"> </w:t>
      </w:r>
      <w:r w:rsidR="00F21B6E" w:rsidRPr="003E7A82">
        <w:rPr>
          <w:rFonts w:ascii="Times New Roman" w:hAnsi="Times New Roman" w:cs="Times New Roman"/>
          <w:iCs/>
          <w:sz w:val="24"/>
          <w:szCs w:val="24"/>
        </w:rPr>
        <w:t xml:space="preserve">y comen </w:t>
      </w:r>
      <w:r w:rsidR="00542891" w:rsidRPr="003E7A82">
        <w:rPr>
          <w:rFonts w:ascii="Times New Roman" w:hAnsi="Times New Roman" w:cs="Times New Roman"/>
          <w:iCs/>
          <w:sz w:val="24"/>
          <w:szCs w:val="24"/>
        </w:rPr>
        <w:t xml:space="preserve">en la escuela </w:t>
      </w:r>
      <w:r w:rsidR="00F21B6E" w:rsidRPr="003E7A82">
        <w:rPr>
          <w:rFonts w:ascii="Times New Roman" w:hAnsi="Times New Roman" w:cs="Times New Roman"/>
          <w:iCs/>
          <w:sz w:val="24"/>
          <w:szCs w:val="24"/>
        </w:rPr>
        <w:t>todos los días durante nueve meses</w:t>
      </w:r>
      <w:r w:rsidR="00542891" w:rsidRPr="003E7A82">
        <w:rPr>
          <w:rFonts w:ascii="Times New Roman" w:hAnsi="Times New Roman" w:cs="Times New Roman"/>
          <w:iCs/>
          <w:sz w:val="24"/>
          <w:szCs w:val="24"/>
        </w:rPr>
        <w:t>, junto con sus compañeros de estudio</w:t>
      </w:r>
      <w:r w:rsidR="00894039" w:rsidRPr="003E7A82">
        <w:rPr>
          <w:rFonts w:ascii="Times New Roman" w:hAnsi="Times New Roman" w:cs="Times New Roman"/>
          <w:iCs/>
          <w:sz w:val="24"/>
          <w:szCs w:val="24"/>
        </w:rPr>
        <w:t>s (</w:t>
      </w:r>
      <w:proofErr w:type="spellStart"/>
      <w:r w:rsidR="00F21B6E" w:rsidRPr="003E7A82">
        <w:rPr>
          <w:rFonts w:ascii="Times New Roman" w:hAnsi="Times New Roman" w:cs="Times New Roman"/>
          <w:iCs/>
          <w:sz w:val="24"/>
          <w:szCs w:val="24"/>
        </w:rPr>
        <w:t>Folkeh</w:t>
      </w:r>
      <w:r w:rsidR="00016D10">
        <w:rPr>
          <w:rFonts w:ascii="Times New Roman" w:hAnsi="Times New Roman" w:cs="Times New Roman"/>
          <w:iCs/>
          <w:sz w:val="24"/>
          <w:szCs w:val="24"/>
        </w:rPr>
        <w:t>o</w:t>
      </w:r>
      <w:r w:rsidR="00F21B6E" w:rsidRPr="003E7A82">
        <w:rPr>
          <w:rFonts w:ascii="Times New Roman" w:hAnsi="Times New Roman" w:cs="Times New Roman"/>
          <w:iCs/>
          <w:sz w:val="24"/>
          <w:szCs w:val="24"/>
        </w:rPr>
        <w:t>gskolene</w:t>
      </w:r>
      <w:proofErr w:type="spellEnd"/>
      <w:r w:rsidR="00F21B6E" w:rsidRPr="003E7A82">
        <w:rPr>
          <w:rFonts w:ascii="Times New Roman" w:hAnsi="Times New Roman" w:cs="Times New Roman"/>
          <w:iCs/>
          <w:sz w:val="24"/>
          <w:szCs w:val="24"/>
        </w:rPr>
        <w:t>, 2024).</w:t>
      </w:r>
    </w:p>
    <w:p w14:paraId="0B32F14B" w14:textId="7E88DC4A" w:rsidR="004C172A" w:rsidRPr="003E7A82" w:rsidRDefault="004C172A"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A lo largo de la historia</w:t>
      </w:r>
      <w:r w:rsidR="009A4979"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los modelos educativos han cambiado </w:t>
      </w:r>
      <w:r w:rsidR="00464CD3" w:rsidRPr="003E7A82">
        <w:rPr>
          <w:rFonts w:ascii="Times New Roman" w:hAnsi="Times New Roman" w:cs="Times New Roman"/>
          <w:iCs/>
          <w:sz w:val="24"/>
          <w:szCs w:val="24"/>
        </w:rPr>
        <w:t xml:space="preserve">al ritmo </w:t>
      </w:r>
      <w:r w:rsidR="00EB2917" w:rsidRPr="003E7A82">
        <w:rPr>
          <w:rFonts w:ascii="Times New Roman" w:hAnsi="Times New Roman" w:cs="Times New Roman"/>
          <w:iCs/>
          <w:sz w:val="24"/>
          <w:szCs w:val="24"/>
        </w:rPr>
        <w:t xml:space="preserve">en </w:t>
      </w:r>
      <w:r w:rsidR="00464CD3" w:rsidRPr="003E7A82">
        <w:rPr>
          <w:rFonts w:ascii="Times New Roman" w:hAnsi="Times New Roman" w:cs="Times New Roman"/>
          <w:iCs/>
          <w:sz w:val="24"/>
          <w:szCs w:val="24"/>
        </w:rPr>
        <w:t>qu</w:t>
      </w:r>
      <w:r w:rsidR="00304CF3" w:rsidRPr="003E7A82">
        <w:rPr>
          <w:rFonts w:ascii="Times New Roman" w:hAnsi="Times New Roman" w:cs="Times New Roman"/>
          <w:iCs/>
          <w:sz w:val="24"/>
          <w:szCs w:val="24"/>
        </w:rPr>
        <w:t>e</w:t>
      </w:r>
      <w:r w:rsidR="00464CD3"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lo ha hecho la sociedad y como se señala en Pearson (2022</w:t>
      </w:r>
      <w:r w:rsidR="0006090D" w:rsidRPr="003E7A82">
        <w:rPr>
          <w:rFonts w:ascii="Times New Roman" w:hAnsi="Times New Roman" w:cs="Times New Roman"/>
          <w:iCs/>
          <w:sz w:val="24"/>
          <w:szCs w:val="24"/>
        </w:rPr>
        <w:t>a</w:t>
      </w:r>
      <w:r w:rsidR="00A9464D" w:rsidRPr="003E7A82">
        <w:rPr>
          <w:rFonts w:ascii="Times New Roman" w:hAnsi="Times New Roman" w:cs="Times New Roman"/>
          <w:iCs/>
          <w:sz w:val="24"/>
          <w:szCs w:val="24"/>
        </w:rPr>
        <w:t xml:space="preserve">) </w:t>
      </w:r>
      <w:r w:rsidR="00125B8B"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en la actualidad se ha tornado </w:t>
      </w:r>
      <w:r w:rsidR="00EB2917" w:rsidRPr="003E7A82">
        <w:rPr>
          <w:rFonts w:ascii="Times New Roman" w:hAnsi="Times New Roman" w:cs="Times New Roman"/>
          <w:iCs/>
          <w:sz w:val="24"/>
          <w:szCs w:val="24"/>
        </w:rPr>
        <w:t xml:space="preserve">en </w:t>
      </w:r>
      <w:r w:rsidRPr="003E7A82">
        <w:rPr>
          <w:rFonts w:ascii="Times New Roman" w:hAnsi="Times New Roman" w:cs="Times New Roman"/>
          <w:iCs/>
          <w:sz w:val="24"/>
          <w:szCs w:val="24"/>
        </w:rPr>
        <w:t>un tema crucial en países que han comprendido la importancia de contar con buenos niveles de educación</w:t>
      </w:r>
      <w:r w:rsidR="00125B8B" w:rsidRPr="003E7A82">
        <w:rPr>
          <w:rFonts w:ascii="Times New Roman" w:hAnsi="Times New Roman" w:cs="Times New Roman"/>
          <w:iCs/>
          <w:sz w:val="24"/>
          <w:szCs w:val="24"/>
        </w:rPr>
        <w:t>”</w:t>
      </w:r>
      <w:r w:rsidRPr="003E7A82">
        <w:rPr>
          <w:rFonts w:ascii="Times New Roman" w:hAnsi="Times New Roman" w:cs="Times New Roman"/>
          <w:iCs/>
          <w:sz w:val="24"/>
          <w:szCs w:val="24"/>
        </w:rPr>
        <w:t>. Entre los modelos considerados en América Latina en búsqueda de una mejora de la educación se encuentran los modelos STEM y la Ruta Pedagógica 2030 (Pearson</w:t>
      </w:r>
      <w:r w:rsidR="00216A68"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2022</w:t>
      </w:r>
      <w:r w:rsidR="0006090D" w:rsidRPr="003E7A82">
        <w:rPr>
          <w:rFonts w:ascii="Times New Roman" w:hAnsi="Times New Roman" w:cs="Times New Roman"/>
          <w:iCs/>
          <w:sz w:val="24"/>
          <w:szCs w:val="24"/>
        </w:rPr>
        <w:t>a</w:t>
      </w:r>
      <w:r w:rsidRPr="003E7A82">
        <w:rPr>
          <w:rFonts w:ascii="Times New Roman" w:hAnsi="Times New Roman" w:cs="Times New Roman"/>
          <w:iCs/>
          <w:sz w:val="24"/>
          <w:szCs w:val="24"/>
        </w:rPr>
        <w:t>).</w:t>
      </w:r>
    </w:p>
    <w:p w14:paraId="2648159E" w14:textId="3C3C5259" w:rsidR="004C172A" w:rsidRPr="003E7A82" w:rsidRDefault="009538B9"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EL modelo </w:t>
      </w:r>
      <w:r w:rsidR="004C172A" w:rsidRPr="003E7A82">
        <w:rPr>
          <w:rFonts w:ascii="Times New Roman" w:hAnsi="Times New Roman" w:cs="Times New Roman"/>
          <w:iCs/>
          <w:sz w:val="24"/>
          <w:szCs w:val="24"/>
        </w:rPr>
        <w:t xml:space="preserve">STEM </w:t>
      </w:r>
      <w:r w:rsidRPr="003E7A82">
        <w:rPr>
          <w:rFonts w:ascii="Times New Roman" w:hAnsi="Times New Roman" w:cs="Times New Roman"/>
          <w:iCs/>
          <w:sz w:val="24"/>
          <w:szCs w:val="24"/>
        </w:rPr>
        <w:t>parte de</w:t>
      </w:r>
      <w:r w:rsidR="004C172A" w:rsidRPr="003E7A82">
        <w:rPr>
          <w:rFonts w:ascii="Times New Roman" w:hAnsi="Times New Roman" w:cs="Times New Roman"/>
          <w:iCs/>
          <w:sz w:val="24"/>
          <w:szCs w:val="24"/>
        </w:rPr>
        <w:t xml:space="preserve"> la teoría del modelo proyectivo, </w:t>
      </w:r>
      <w:r w:rsidRPr="003E7A82">
        <w:rPr>
          <w:rFonts w:ascii="Times New Roman" w:hAnsi="Times New Roman" w:cs="Times New Roman"/>
          <w:iCs/>
          <w:sz w:val="24"/>
          <w:szCs w:val="24"/>
        </w:rPr>
        <w:t>con</w:t>
      </w:r>
      <w:r w:rsidR="004C172A" w:rsidRPr="003E7A82">
        <w:rPr>
          <w:rFonts w:ascii="Times New Roman" w:hAnsi="Times New Roman" w:cs="Times New Roman"/>
          <w:iCs/>
          <w:sz w:val="24"/>
          <w:szCs w:val="24"/>
        </w:rPr>
        <w:t xml:space="preserve"> postulados </w:t>
      </w:r>
      <w:r w:rsidRPr="003E7A82">
        <w:rPr>
          <w:rFonts w:ascii="Times New Roman" w:hAnsi="Times New Roman" w:cs="Times New Roman"/>
          <w:iCs/>
          <w:sz w:val="24"/>
          <w:szCs w:val="24"/>
        </w:rPr>
        <w:t xml:space="preserve">que reconocen </w:t>
      </w:r>
      <w:r w:rsidR="004C172A" w:rsidRPr="003E7A82">
        <w:rPr>
          <w:rFonts w:ascii="Times New Roman" w:hAnsi="Times New Roman" w:cs="Times New Roman"/>
          <w:iCs/>
          <w:sz w:val="24"/>
          <w:szCs w:val="24"/>
        </w:rPr>
        <w:t xml:space="preserve">la </w:t>
      </w:r>
      <w:r w:rsidR="005F7F09" w:rsidRPr="00EF4AA7">
        <w:rPr>
          <w:rFonts w:ascii="Times New Roman" w:hAnsi="Times New Roman" w:cs="Times New Roman"/>
          <w:iCs/>
          <w:sz w:val="24"/>
          <w:szCs w:val="24"/>
        </w:rPr>
        <w:t>urgencia (o requisito)</w:t>
      </w:r>
      <w:r w:rsidR="005F7F09" w:rsidRPr="003E7A82">
        <w:rPr>
          <w:rFonts w:ascii="Times New Roman" w:hAnsi="Times New Roman" w:cs="Times New Roman"/>
          <w:iCs/>
          <w:sz w:val="24"/>
          <w:szCs w:val="24"/>
        </w:rPr>
        <w:t xml:space="preserve"> </w:t>
      </w:r>
      <w:r w:rsidR="004C172A" w:rsidRPr="003E7A82">
        <w:rPr>
          <w:rFonts w:ascii="Times New Roman" w:hAnsi="Times New Roman" w:cs="Times New Roman"/>
          <w:iCs/>
          <w:sz w:val="24"/>
          <w:szCs w:val="24"/>
        </w:rPr>
        <w:t xml:space="preserve">de </w:t>
      </w:r>
      <w:r w:rsidRPr="003E7A82">
        <w:rPr>
          <w:rFonts w:ascii="Times New Roman" w:hAnsi="Times New Roman" w:cs="Times New Roman"/>
          <w:iCs/>
          <w:sz w:val="24"/>
          <w:szCs w:val="24"/>
        </w:rPr>
        <w:t>la vinculación entre el</w:t>
      </w:r>
      <w:r w:rsidR="004C172A" w:rsidRPr="003E7A82">
        <w:rPr>
          <w:rFonts w:ascii="Times New Roman" w:hAnsi="Times New Roman" w:cs="Times New Roman"/>
          <w:iCs/>
          <w:sz w:val="24"/>
          <w:szCs w:val="24"/>
        </w:rPr>
        <w:t xml:space="preserve"> aprendizaje</w:t>
      </w:r>
      <w:r w:rsidRPr="003E7A82">
        <w:rPr>
          <w:rFonts w:ascii="Times New Roman" w:hAnsi="Times New Roman" w:cs="Times New Roman"/>
          <w:iCs/>
          <w:sz w:val="24"/>
          <w:szCs w:val="24"/>
        </w:rPr>
        <w:t xml:space="preserve"> y</w:t>
      </w:r>
      <w:r w:rsidR="004C172A" w:rsidRPr="003E7A82">
        <w:rPr>
          <w:rFonts w:ascii="Times New Roman" w:hAnsi="Times New Roman" w:cs="Times New Roman"/>
          <w:iCs/>
          <w:sz w:val="24"/>
          <w:szCs w:val="24"/>
        </w:rPr>
        <w:t xml:space="preserve"> las necesidades del mundo actual</w:t>
      </w:r>
      <w:r w:rsidRPr="003E7A82">
        <w:rPr>
          <w:rFonts w:ascii="Times New Roman" w:hAnsi="Times New Roman" w:cs="Times New Roman"/>
          <w:iCs/>
          <w:sz w:val="24"/>
          <w:szCs w:val="24"/>
        </w:rPr>
        <w:t xml:space="preserve"> como el impacto de las TIC en la generación de información educativa que se desató en 1</w:t>
      </w:r>
      <w:r w:rsidR="004C172A" w:rsidRPr="003E7A82">
        <w:rPr>
          <w:rFonts w:ascii="Times New Roman" w:hAnsi="Times New Roman" w:cs="Times New Roman"/>
          <w:iCs/>
          <w:sz w:val="24"/>
          <w:szCs w:val="24"/>
        </w:rPr>
        <w:t xml:space="preserve">994 </w:t>
      </w:r>
      <w:r w:rsidRPr="003E7A82">
        <w:rPr>
          <w:rFonts w:ascii="Times New Roman" w:hAnsi="Times New Roman" w:cs="Times New Roman"/>
          <w:iCs/>
          <w:sz w:val="24"/>
          <w:szCs w:val="24"/>
        </w:rPr>
        <w:t xml:space="preserve">cuando </w:t>
      </w:r>
      <w:r w:rsidR="004C172A" w:rsidRPr="003E7A82">
        <w:rPr>
          <w:rFonts w:ascii="Times New Roman" w:hAnsi="Times New Roman" w:cs="Times New Roman"/>
          <w:iCs/>
          <w:sz w:val="24"/>
          <w:szCs w:val="24"/>
        </w:rPr>
        <w:t xml:space="preserve">la red de Internet </w:t>
      </w:r>
      <w:r w:rsidRPr="003E7A82">
        <w:rPr>
          <w:rFonts w:ascii="Times New Roman" w:hAnsi="Times New Roman" w:cs="Times New Roman"/>
          <w:iCs/>
          <w:sz w:val="24"/>
          <w:szCs w:val="24"/>
        </w:rPr>
        <w:t>se expandió</w:t>
      </w:r>
      <w:r w:rsidR="004C172A"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mundialmente. Este modelo nace en Estados Unidos en los 90’s con el</w:t>
      </w:r>
      <w:r w:rsidR="004C172A" w:rsidRPr="003E7A82">
        <w:rPr>
          <w:rFonts w:ascii="Times New Roman" w:hAnsi="Times New Roman" w:cs="Times New Roman"/>
          <w:iCs/>
          <w:sz w:val="24"/>
          <w:szCs w:val="24"/>
        </w:rPr>
        <w:t xml:space="preserve"> objetivo inicial </w:t>
      </w:r>
      <w:r w:rsidRPr="003E7A82">
        <w:rPr>
          <w:rFonts w:ascii="Times New Roman" w:hAnsi="Times New Roman" w:cs="Times New Roman"/>
          <w:iCs/>
          <w:sz w:val="24"/>
          <w:szCs w:val="24"/>
        </w:rPr>
        <w:t>de</w:t>
      </w:r>
      <w:r w:rsidR="004C172A" w:rsidRPr="003E7A82">
        <w:rPr>
          <w:rFonts w:ascii="Times New Roman" w:hAnsi="Times New Roman" w:cs="Times New Roman"/>
          <w:iCs/>
          <w:sz w:val="24"/>
          <w:szCs w:val="24"/>
        </w:rPr>
        <w:t xml:space="preserve"> satisfacer la demanda tecnológica y digital de </w:t>
      </w:r>
      <w:r w:rsidRPr="003E7A82">
        <w:rPr>
          <w:rFonts w:ascii="Times New Roman" w:hAnsi="Times New Roman" w:cs="Times New Roman"/>
          <w:iCs/>
          <w:sz w:val="24"/>
          <w:szCs w:val="24"/>
        </w:rPr>
        <w:t>los</w:t>
      </w:r>
      <w:r w:rsidR="004C172A" w:rsidRPr="003E7A82">
        <w:rPr>
          <w:rFonts w:ascii="Times New Roman" w:hAnsi="Times New Roman" w:cs="Times New Roman"/>
          <w:iCs/>
          <w:sz w:val="24"/>
          <w:szCs w:val="24"/>
        </w:rPr>
        <w:t xml:space="preserve"> jóvenes que veían </w:t>
      </w:r>
      <w:r w:rsidRPr="003E7A82">
        <w:rPr>
          <w:rFonts w:ascii="Times New Roman" w:hAnsi="Times New Roman" w:cs="Times New Roman"/>
          <w:iCs/>
          <w:sz w:val="24"/>
          <w:szCs w:val="24"/>
        </w:rPr>
        <w:t xml:space="preserve">en </w:t>
      </w:r>
      <w:r w:rsidR="00147018" w:rsidRPr="003E7A82">
        <w:rPr>
          <w:rFonts w:ascii="Times New Roman" w:hAnsi="Times New Roman" w:cs="Times New Roman"/>
          <w:iCs/>
          <w:sz w:val="24"/>
          <w:szCs w:val="24"/>
        </w:rPr>
        <w:t xml:space="preserve">los </w:t>
      </w:r>
      <w:r w:rsidRPr="003E7A82">
        <w:rPr>
          <w:rFonts w:ascii="Times New Roman" w:hAnsi="Times New Roman" w:cs="Times New Roman"/>
          <w:iCs/>
          <w:sz w:val="24"/>
          <w:szCs w:val="24"/>
        </w:rPr>
        <w:t xml:space="preserve">sistemas y </w:t>
      </w:r>
      <w:r w:rsidR="00147018" w:rsidRPr="003E7A82">
        <w:rPr>
          <w:rFonts w:ascii="Times New Roman" w:hAnsi="Times New Roman" w:cs="Times New Roman"/>
          <w:iCs/>
          <w:sz w:val="24"/>
          <w:szCs w:val="24"/>
        </w:rPr>
        <w:t xml:space="preserve">la </w:t>
      </w:r>
      <w:r w:rsidRPr="003E7A82">
        <w:rPr>
          <w:rFonts w:ascii="Times New Roman" w:hAnsi="Times New Roman" w:cs="Times New Roman"/>
          <w:iCs/>
          <w:sz w:val="24"/>
          <w:szCs w:val="24"/>
        </w:rPr>
        <w:t>tecnología de la información una alternativa para su desarrollo</w:t>
      </w:r>
      <w:r w:rsidR="004C172A" w:rsidRPr="003E7A82">
        <w:rPr>
          <w:rFonts w:ascii="Times New Roman" w:hAnsi="Times New Roman" w:cs="Times New Roman"/>
          <w:iCs/>
          <w:sz w:val="24"/>
          <w:szCs w:val="24"/>
        </w:rPr>
        <w:t xml:space="preserve"> profesional.</w:t>
      </w:r>
      <w:r w:rsidRPr="003E7A82">
        <w:rPr>
          <w:rFonts w:ascii="Times New Roman" w:hAnsi="Times New Roman" w:cs="Times New Roman"/>
          <w:iCs/>
          <w:sz w:val="24"/>
          <w:szCs w:val="24"/>
        </w:rPr>
        <w:t xml:space="preserve"> Así </w:t>
      </w:r>
      <w:r w:rsidR="004C172A" w:rsidRPr="003E7A82">
        <w:rPr>
          <w:rFonts w:ascii="Times New Roman" w:hAnsi="Times New Roman" w:cs="Times New Roman"/>
          <w:iCs/>
          <w:sz w:val="24"/>
          <w:szCs w:val="24"/>
        </w:rPr>
        <w:t xml:space="preserve">STEM </w:t>
      </w:r>
      <w:r w:rsidRPr="003E7A82">
        <w:rPr>
          <w:rFonts w:ascii="Times New Roman" w:hAnsi="Times New Roman" w:cs="Times New Roman"/>
          <w:iCs/>
          <w:sz w:val="24"/>
          <w:szCs w:val="24"/>
        </w:rPr>
        <w:t>apunta hacia la</w:t>
      </w:r>
      <w:r w:rsidR="004C172A" w:rsidRPr="003E7A82">
        <w:rPr>
          <w:rFonts w:ascii="Times New Roman" w:hAnsi="Times New Roman" w:cs="Times New Roman"/>
          <w:iCs/>
          <w:sz w:val="24"/>
          <w:szCs w:val="24"/>
        </w:rPr>
        <w:t xml:space="preserve"> educación tecnocientífica,</w:t>
      </w:r>
      <w:r w:rsidRPr="003E7A82">
        <w:rPr>
          <w:rFonts w:ascii="Times New Roman" w:hAnsi="Times New Roman" w:cs="Times New Roman"/>
          <w:iCs/>
          <w:sz w:val="24"/>
          <w:szCs w:val="24"/>
        </w:rPr>
        <w:t xml:space="preserve"> que requiere una evolución versátil y colaborativa para lograr un aprendizaje interdisciplinario y </w:t>
      </w:r>
      <w:r w:rsidR="004C172A" w:rsidRPr="003E7A82">
        <w:rPr>
          <w:rFonts w:ascii="Times New Roman" w:hAnsi="Times New Roman" w:cs="Times New Roman"/>
          <w:iCs/>
          <w:sz w:val="24"/>
          <w:szCs w:val="24"/>
        </w:rPr>
        <w:t>transversal</w:t>
      </w:r>
      <w:r w:rsidRPr="003E7A82">
        <w:rPr>
          <w:rFonts w:ascii="Times New Roman" w:hAnsi="Times New Roman" w:cs="Times New Roman"/>
          <w:iCs/>
          <w:sz w:val="24"/>
          <w:szCs w:val="24"/>
        </w:rPr>
        <w:t xml:space="preserve"> para</w:t>
      </w:r>
      <w:r w:rsidR="004C172A"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solucionar creativamente y con efectividad los problemas reales</w:t>
      </w:r>
      <w:r w:rsidR="004C172A"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En América Latina</w:t>
      </w:r>
      <w:r w:rsidR="004C172A" w:rsidRPr="003E7A82">
        <w:rPr>
          <w:rFonts w:ascii="Times New Roman" w:hAnsi="Times New Roman" w:cs="Times New Roman"/>
          <w:iCs/>
          <w:sz w:val="24"/>
          <w:szCs w:val="24"/>
        </w:rPr>
        <w:t xml:space="preserve"> aún no </w:t>
      </w:r>
      <w:r w:rsidRPr="003E7A82">
        <w:rPr>
          <w:rFonts w:ascii="Times New Roman" w:hAnsi="Times New Roman" w:cs="Times New Roman"/>
          <w:iCs/>
          <w:sz w:val="24"/>
          <w:szCs w:val="24"/>
        </w:rPr>
        <w:t>se</w:t>
      </w:r>
      <w:r w:rsidR="004C172A" w:rsidRPr="003E7A82">
        <w:rPr>
          <w:rFonts w:ascii="Times New Roman" w:hAnsi="Times New Roman" w:cs="Times New Roman"/>
          <w:iCs/>
          <w:sz w:val="24"/>
          <w:szCs w:val="24"/>
        </w:rPr>
        <w:t xml:space="preserve"> ha integrado </w:t>
      </w:r>
      <w:r w:rsidRPr="003E7A82">
        <w:rPr>
          <w:rFonts w:ascii="Times New Roman" w:hAnsi="Times New Roman" w:cs="Times New Roman"/>
          <w:iCs/>
          <w:sz w:val="24"/>
          <w:szCs w:val="24"/>
        </w:rPr>
        <w:t>este modelo formalmente en sus</w:t>
      </w:r>
      <w:r w:rsidR="004C172A" w:rsidRPr="003E7A82">
        <w:rPr>
          <w:rFonts w:ascii="Times New Roman" w:hAnsi="Times New Roman" w:cs="Times New Roman"/>
          <w:iCs/>
          <w:sz w:val="24"/>
          <w:szCs w:val="24"/>
        </w:rPr>
        <w:t xml:space="preserve"> planes de estudio, pero </w:t>
      </w:r>
      <w:r w:rsidR="00572096" w:rsidRPr="003E7A82">
        <w:rPr>
          <w:rFonts w:ascii="Times New Roman" w:hAnsi="Times New Roman" w:cs="Times New Roman"/>
          <w:iCs/>
          <w:sz w:val="24"/>
          <w:szCs w:val="24"/>
        </w:rPr>
        <w:t xml:space="preserve">ante la innovación del modelo educativo esto </w:t>
      </w:r>
      <w:r w:rsidRPr="003E7A82">
        <w:rPr>
          <w:rFonts w:ascii="Times New Roman" w:hAnsi="Times New Roman" w:cs="Times New Roman"/>
          <w:iCs/>
          <w:sz w:val="24"/>
          <w:szCs w:val="24"/>
        </w:rPr>
        <w:t xml:space="preserve">podría </w:t>
      </w:r>
      <w:r w:rsidR="00B01A65" w:rsidRPr="003E7A82">
        <w:rPr>
          <w:rFonts w:ascii="Times New Roman" w:hAnsi="Times New Roman" w:cs="Times New Roman"/>
          <w:iCs/>
          <w:sz w:val="24"/>
          <w:szCs w:val="24"/>
        </w:rPr>
        <w:t>tener lugar</w:t>
      </w:r>
      <w:r w:rsidRPr="003E7A82">
        <w:rPr>
          <w:rFonts w:ascii="Times New Roman" w:hAnsi="Times New Roman" w:cs="Times New Roman"/>
          <w:iCs/>
          <w:sz w:val="24"/>
          <w:szCs w:val="24"/>
        </w:rPr>
        <w:t xml:space="preserve"> en</w:t>
      </w:r>
      <w:r w:rsidR="004C172A" w:rsidRPr="003E7A82">
        <w:rPr>
          <w:rFonts w:ascii="Times New Roman" w:hAnsi="Times New Roman" w:cs="Times New Roman"/>
          <w:iCs/>
          <w:sz w:val="24"/>
          <w:szCs w:val="24"/>
        </w:rPr>
        <w:t xml:space="preserve"> instituciones </w:t>
      </w:r>
      <w:r w:rsidR="00572096" w:rsidRPr="003E7A82">
        <w:rPr>
          <w:rFonts w:ascii="Times New Roman" w:hAnsi="Times New Roman" w:cs="Times New Roman"/>
          <w:iCs/>
          <w:sz w:val="24"/>
          <w:szCs w:val="24"/>
        </w:rPr>
        <w:t>de educación media y superior (Pearson, 2022</w:t>
      </w:r>
      <w:r w:rsidR="0006090D" w:rsidRPr="003E7A82">
        <w:rPr>
          <w:rFonts w:ascii="Times New Roman" w:hAnsi="Times New Roman" w:cs="Times New Roman"/>
          <w:iCs/>
          <w:sz w:val="24"/>
          <w:szCs w:val="24"/>
        </w:rPr>
        <w:t>a</w:t>
      </w:r>
      <w:r w:rsidR="00572096" w:rsidRPr="003E7A82">
        <w:rPr>
          <w:rFonts w:ascii="Times New Roman" w:hAnsi="Times New Roman" w:cs="Times New Roman"/>
          <w:iCs/>
          <w:sz w:val="24"/>
          <w:szCs w:val="24"/>
        </w:rPr>
        <w:t>)</w:t>
      </w:r>
      <w:r w:rsidR="004C172A" w:rsidRPr="003E7A82">
        <w:rPr>
          <w:rFonts w:ascii="Times New Roman" w:hAnsi="Times New Roman" w:cs="Times New Roman"/>
          <w:iCs/>
          <w:sz w:val="24"/>
          <w:szCs w:val="24"/>
        </w:rPr>
        <w:t>.</w:t>
      </w:r>
    </w:p>
    <w:p w14:paraId="65350E01" w14:textId="68A90FE3" w:rsidR="009D770E" w:rsidRPr="003E7A82" w:rsidRDefault="00572096"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Por su parte la</w:t>
      </w:r>
      <w:r w:rsidR="00563C98"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Ruta Pedagógica 2030, es un modelo propuesto en 2020, por el Ministerio de Educación del Ecuador</w:t>
      </w:r>
      <w:r w:rsidR="004F09F0" w:rsidRPr="003E7A82">
        <w:rPr>
          <w:rFonts w:ascii="Times New Roman" w:hAnsi="Times New Roman" w:cs="Times New Roman"/>
          <w:iCs/>
          <w:sz w:val="24"/>
          <w:szCs w:val="24"/>
        </w:rPr>
        <w:t xml:space="preserve"> y</w:t>
      </w:r>
      <w:r w:rsidRPr="003E7A82">
        <w:rPr>
          <w:rFonts w:ascii="Times New Roman" w:hAnsi="Times New Roman" w:cs="Times New Roman"/>
          <w:iCs/>
          <w:sz w:val="24"/>
          <w:szCs w:val="24"/>
        </w:rPr>
        <w:t xml:space="preserve"> la Organización de Estados Iberoamericanos para la Educación (OEI) </w:t>
      </w:r>
      <w:r w:rsidR="00125B8B" w:rsidRPr="003E7A82">
        <w:rPr>
          <w:rFonts w:ascii="Times New Roman" w:hAnsi="Times New Roman" w:cs="Times New Roman"/>
          <w:iCs/>
          <w:sz w:val="24"/>
          <w:szCs w:val="24"/>
        </w:rPr>
        <w:t>“</w:t>
      </w:r>
      <w:r w:rsidRPr="003E7A82">
        <w:rPr>
          <w:rFonts w:ascii="Times New Roman" w:hAnsi="Times New Roman" w:cs="Times New Roman"/>
          <w:iCs/>
          <w:sz w:val="24"/>
          <w:szCs w:val="24"/>
        </w:rPr>
        <w:t>en el que la actividad conjunta basada en la indagación ocupa una posición central, ya sea a través del aprendizaje por proyectos, el aula invertida o el aprendizaje experiencial</w:t>
      </w:r>
      <w:r w:rsidR="00125B8B"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(Pearson, 2022b)</w:t>
      </w:r>
      <w:r w:rsidR="005F7F09" w:rsidRPr="00EF4AA7">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00D679C1" w:rsidRPr="003E7A82">
        <w:rPr>
          <w:rFonts w:ascii="Times New Roman" w:hAnsi="Times New Roman" w:cs="Times New Roman"/>
          <w:iCs/>
          <w:sz w:val="24"/>
          <w:szCs w:val="24"/>
        </w:rPr>
        <w:t>es decir</w:t>
      </w:r>
      <w:r w:rsidR="005F7F09" w:rsidRPr="00EF4AA7">
        <w:rPr>
          <w:rFonts w:ascii="Times New Roman" w:hAnsi="Times New Roman" w:cs="Times New Roman"/>
          <w:iCs/>
          <w:sz w:val="24"/>
          <w:szCs w:val="24"/>
        </w:rPr>
        <w:t>,</w:t>
      </w:r>
      <w:r w:rsidRPr="003E7A82">
        <w:rPr>
          <w:rFonts w:ascii="Times New Roman" w:hAnsi="Times New Roman" w:cs="Times New Roman"/>
          <w:iCs/>
          <w:sz w:val="24"/>
          <w:szCs w:val="24"/>
        </w:rPr>
        <w:t xml:space="preserve"> la Ruta Pedagógica es una propuesta pedagógica que se basa en</w:t>
      </w:r>
      <w:r w:rsidR="00AA78A2"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 xml:space="preserve">aprendizaje basado en proyectos, </w:t>
      </w:r>
      <w:r w:rsidR="003900E0" w:rsidRPr="003E7A82">
        <w:rPr>
          <w:rFonts w:ascii="Times New Roman" w:hAnsi="Times New Roman" w:cs="Times New Roman"/>
          <w:iCs/>
          <w:sz w:val="24"/>
          <w:szCs w:val="24"/>
        </w:rPr>
        <w:t xml:space="preserve">la </w:t>
      </w:r>
      <w:r w:rsidRPr="003E7A82">
        <w:rPr>
          <w:rFonts w:ascii="Times New Roman" w:hAnsi="Times New Roman" w:cs="Times New Roman"/>
          <w:iCs/>
          <w:sz w:val="24"/>
          <w:szCs w:val="24"/>
        </w:rPr>
        <w:t xml:space="preserve">educación por competencias y </w:t>
      </w:r>
      <w:r w:rsidR="00F46034" w:rsidRPr="003E7A82">
        <w:rPr>
          <w:rFonts w:ascii="Times New Roman" w:hAnsi="Times New Roman" w:cs="Times New Roman"/>
          <w:iCs/>
          <w:sz w:val="24"/>
          <w:szCs w:val="24"/>
        </w:rPr>
        <w:t xml:space="preserve">en </w:t>
      </w:r>
      <w:r w:rsidRPr="003E7A82">
        <w:rPr>
          <w:rFonts w:ascii="Times New Roman" w:hAnsi="Times New Roman" w:cs="Times New Roman"/>
          <w:iCs/>
          <w:sz w:val="24"/>
          <w:szCs w:val="24"/>
        </w:rPr>
        <w:t>las disciplinas mencionadas en el modelo STEM, recogiendo lo mejor de los modelos educativos a partir del constructivismo (Pea</w:t>
      </w:r>
      <w:r w:rsidR="0006090D" w:rsidRPr="003E7A82">
        <w:rPr>
          <w:rFonts w:ascii="Times New Roman" w:hAnsi="Times New Roman" w:cs="Times New Roman"/>
          <w:iCs/>
          <w:sz w:val="24"/>
          <w:szCs w:val="24"/>
        </w:rPr>
        <w:t>r</w:t>
      </w:r>
      <w:r w:rsidRPr="003E7A82">
        <w:rPr>
          <w:rFonts w:ascii="Times New Roman" w:hAnsi="Times New Roman" w:cs="Times New Roman"/>
          <w:iCs/>
          <w:sz w:val="24"/>
          <w:szCs w:val="24"/>
        </w:rPr>
        <w:t>son, 2022a).</w:t>
      </w:r>
      <w:r w:rsidR="002F1A55" w:rsidRPr="003E7A82">
        <w:rPr>
          <w:rFonts w:ascii="Times New Roman" w:hAnsi="Times New Roman" w:cs="Times New Roman"/>
          <w:iCs/>
          <w:sz w:val="24"/>
          <w:szCs w:val="24"/>
        </w:rPr>
        <w:t xml:space="preserve"> Por su parte </w:t>
      </w:r>
      <w:r w:rsidR="00125B8B" w:rsidRPr="003E7A82">
        <w:rPr>
          <w:rFonts w:ascii="Times New Roman" w:hAnsi="Times New Roman" w:cs="Times New Roman"/>
          <w:iCs/>
          <w:sz w:val="24"/>
          <w:szCs w:val="24"/>
        </w:rPr>
        <w:t>“</w:t>
      </w:r>
      <w:r w:rsidR="002F1A55" w:rsidRPr="003E7A82">
        <w:rPr>
          <w:rFonts w:ascii="Times New Roman" w:hAnsi="Times New Roman" w:cs="Times New Roman"/>
          <w:iCs/>
          <w:sz w:val="24"/>
          <w:szCs w:val="24"/>
        </w:rPr>
        <w:t xml:space="preserve">la formación dual en Suiza es un sistema de formación profesional a nivel medio-superior (bachillerato) que se caracteriza por la dualidad de teoría (en centros educativos) y práctica (directamente en la empresa). Gracias a este sistema, Suiza tiene uno de los niveles de desempleo más bajo del mundo, y explica en gran </w:t>
      </w:r>
      <w:r w:rsidR="002F1A55" w:rsidRPr="003E7A82">
        <w:rPr>
          <w:rFonts w:ascii="Times New Roman" w:hAnsi="Times New Roman" w:cs="Times New Roman"/>
          <w:iCs/>
          <w:sz w:val="24"/>
          <w:szCs w:val="24"/>
        </w:rPr>
        <w:lastRenderedPageBreak/>
        <w:t>parte los muy altos niveles de competitividad y de innovación de su economía</w:t>
      </w:r>
      <w:r w:rsidR="00125B8B" w:rsidRPr="003E7A82">
        <w:rPr>
          <w:rFonts w:ascii="Times New Roman" w:hAnsi="Times New Roman" w:cs="Times New Roman"/>
          <w:iCs/>
          <w:sz w:val="24"/>
          <w:szCs w:val="24"/>
        </w:rPr>
        <w:t>”</w:t>
      </w:r>
      <w:r w:rsidR="002F1A55" w:rsidRPr="003E7A82">
        <w:rPr>
          <w:rFonts w:ascii="Times New Roman" w:hAnsi="Times New Roman" w:cs="Times New Roman"/>
          <w:iCs/>
          <w:sz w:val="24"/>
          <w:szCs w:val="24"/>
        </w:rPr>
        <w:t xml:space="preserve"> (Cámara de Comercio Suizo Mexicana, </w:t>
      </w:r>
      <w:r w:rsidR="001D6082" w:rsidRPr="003E7A82">
        <w:rPr>
          <w:rFonts w:ascii="Times New Roman" w:hAnsi="Times New Roman" w:cs="Times New Roman"/>
          <w:iCs/>
          <w:sz w:val="24"/>
          <w:szCs w:val="24"/>
        </w:rPr>
        <w:t>s. f.</w:t>
      </w:r>
      <w:r w:rsidR="002F1A55" w:rsidRPr="003E7A82">
        <w:rPr>
          <w:rFonts w:ascii="Times New Roman" w:hAnsi="Times New Roman" w:cs="Times New Roman"/>
          <w:iCs/>
          <w:sz w:val="24"/>
          <w:szCs w:val="24"/>
        </w:rPr>
        <w:t>).</w:t>
      </w:r>
    </w:p>
    <w:p w14:paraId="4C0FBB3F" w14:textId="173210F7" w:rsidR="00522827" w:rsidRPr="003E7A82" w:rsidRDefault="00883530" w:rsidP="00E77F98">
      <w:pPr>
        <w:spacing w:before="40" w:after="40" w:line="360" w:lineRule="auto"/>
        <w:jc w:val="center"/>
        <w:rPr>
          <w:rFonts w:ascii="Times New Roman" w:hAnsi="Times New Roman" w:cs="Times New Roman"/>
          <w:b/>
          <w:bCs/>
          <w:iCs/>
          <w:sz w:val="28"/>
          <w:szCs w:val="28"/>
        </w:rPr>
      </w:pPr>
      <w:r w:rsidRPr="003E7A82">
        <w:rPr>
          <w:rFonts w:ascii="Times New Roman" w:hAnsi="Times New Roman" w:cs="Times New Roman"/>
          <w:b/>
          <w:bCs/>
          <w:iCs/>
          <w:sz w:val="28"/>
          <w:szCs w:val="28"/>
        </w:rPr>
        <w:t>La internacionalización de la educación superior</w:t>
      </w:r>
      <w:r w:rsidR="00522827" w:rsidRPr="003E7A82">
        <w:rPr>
          <w:rFonts w:ascii="Times New Roman" w:hAnsi="Times New Roman" w:cs="Times New Roman"/>
          <w:b/>
          <w:bCs/>
          <w:iCs/>
          <w:sz w:val="28"/>
          <w:szCs w:val="28"/>
        </w:rPr>
        <w:t>:</w:t>
      </w:r>
      <w:r w:rsidRPr="003E7A82">
        <w:rPr>
          <w:rFonts w:ascii="Times New Roman" w:hAnsi="Times New Roman" w:cs="Times New Roman"/>
          <w:b/>
          <w:bCs/>
          <w:iCs/>
          <w:sz w:val="28"/>
          <w:szCs w:val="28"/>
        </w:rPr>
        <w:t xml:space="preserve"> </w:t>
      </w:r>
    </w:p>
    <w:p w14:paraId="1E9EF364" w14:textId="38D362EA" w:rsidR="00883530" w:rsidRPr="003E7A82" w:rsidRDefault="005F7F09" w:rsidP="00E77F98">
      <w:pPr>
        <w:spacing w:before="40" w:after="40" w:line="360" w:lineRule="auto"/>
        <w:jc w:val="center"/>
        <w:rPr>
          <w:rFonts w:ascii="Times New Roman" w:hAnsi="Times New Roman" w:cs="Times New Roman"/>
          <w:b/>
          <w:bCs/>
          <w:iCs/>
          <w:sz w:val="28"/>
          <w:szCs w:val="28"/>
        </w:rPr>
      </w:pPr>
      <w:r w:rsidRPr="00EF4AA7">
        <w:rPr>
          <w:rFonts w:ascii="Times New Roman" w:hAnsi="Times New Roman" w:cs="Times New Roman"/>
          <w:b/>
          <w:bCs/>
          <w:iCs/>
          <w:sz w:val="28"/>
          <w:szCs w:val="28"/>
        </w:rPr>
        <w:t>u</w:t>
      </w:r>
      <w:r w:rsidR="00883530" w:rsidRPr="003E7A82">
        <w:rPr>
          <w:rFonts w:ascii="Times New Roman" w:hAnsi="Times New Roman" w:cs="Times New Roman"/>
          <w:b/>
          <w:bCs/>
          <w:iCs/>
          <w:sz w:val="28"/>
          <w:szCs w:val="28"/>
        </w:rPr>
        <w:t>n dilema para México</w:t>
      </w:r>
    </w:p>
    <w:p w14:paraId="5848122C" w14:textId="446B67CE" w:rsidR="008A2252" w:rsidRPr="003E7A82" w:rsidRDefault="008A2252"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La internacionalización de la educación superior en </w:t>
      </w:r>
      <w:r w:rsidR="00DD22E8" w:rsidRPr="003E7A82">
        <w:rPr>
          <w:rFonts w:ascii="Times New Roman" w:hAnsi="Times New Roman" w:cs="Times New Roman"/>
          <w:iCs/>
          <w:sz w:val="24"/>
          <w:szCs w:val="24"/>
        </w:rPr>
        <w:t>México</w:t>
      </w:r>
      <w:r w:rsidRPr="003E7A82">
        <w:rPr>
          <w:rFonts w:ascii="Times New Roman" w:hAnsi="Times New Roman" w:cs="Times New Roman"/>
          <w:iCs/>
          <w:sz w:val="24"/>
          <w:szCs w:val="24"/>
        </w:rPr>
        <w:t xml:space="preserve"> es un proceso que las universidades deben concretar</w:t>
      </w:r>
      <w:r w:rsidR="00710C28" w:rsidRPr="003E7A82">
        <w:rPr>
          <w:rFonts w:ascii="Times New Roman" w:hAnsi="Times New Roman" w:cs="Times New Roman"/>
          <w:iCs/>
          <w:sz w:val="24"/>
          <w:szCs w:val="24"/>
        </w:rPr>
        <w:t xml:space="preserve"> dada la responsabilidad que tienen de preparar a las futuras generaciones de profesionales en las diversas áreas del conocimiento humano</w:t>
      </w:r>
      <w:r w:rsidR="000D7EDB" w:rsidRPr="003E7A82">
        <w:rPr>
          <w:rFonts w:ascii="Times New Roman" w:hAnsi="Times New Roman" w:cs="Times New Roman"/>
          <w:iCs/>
          <w:sz w:val="24"/>
          <w:szCs w:val="24"/>
        </w:rPr>
        <w:t>.</w:t>
      </w:r>
      <w:r w:rsidR="00710C28" w:rsidRPr="003E7A82">
        <w:rPr>
          <w:rFonts w:ascii="Times New Roman" w:hAnsi="Times New Roman" w:cs="Times New Roman"/>
          <w:iCs/>
          <w:sz w:val="24"/>
          <w:szCs w:val="24"/>
        </w:rPr>
        <w:t xml:space="preserve"> </w:t>
      </w:r>
      <w:r w:rsidR="000D7EDB" w:rsidRPr="003E7A82">
        <w:rPr>
          <w:rFonts w:ascii="Times New Roman" w:hAnsi="Times New Roman" w:cs="Times New Roman"/>
          <w:iCs/>
          <w:sz w:val="24"/>
          <w:szCs w:val="24"/>
        </w:rPr>
        <w:t>L</w:t>
      </w:r>
      <w:r w:rsidR="00710C28" w:rsidRPr="003E7A82">
        <w:rPr>
          <w:rFonts w:ascii="Times New Roman" w:hAnsi="Times New Roman" w:cs="Times New Roman"/>
          <w:iCs/>
          <w:sz w:val="24"/>
          <w:szCs w:val="24"/>
        </w:rPr>
        <w:t>a presente globalización marca líneas sis</w:t>
      </w:r>
      <w:r w:rsidR="00D24000" w:rsidRPr="003E7A82">
        <w:rPr>
          <w:rFonts w:ascii="Times New Roman" w:hAnsi="Times New Roman" w:cs="Times New Roman"/>
          <w:iCs/>
          <w:sz w:val="24"/>
          <w:szCs w:val="24"/>
        </w:rPr>
        <w:t>témicas a seguir a nivel mundial en las que se inserte</w:t>
      </w:r>
      <w:r w:rsidR="0030304A" w:rsidRPr="003E7A82">
        <w:rPr>
          <w:rFonts w:ascii="Times New Roman" w:hAnsi="Times New Roman" w:cs="Times New Roman"/>
          <w:iCs/>
          <w:sz w:val="24"/>
          <w:szCs w:val="24"/>
        </w:rPr>
        <w:t>n profesionistas con nuevos perfiles, con habilidades y conocimientos</w:t>
      </w:r>
      <w:r w:rsidR="007D35CB" w:rsidRPr="003E7A82">
        <w:rPr>
          <w:rFonts w:ascii="Times New Roman" w:hAnsi="Times New Roman" w:cs="Times New Roman"/>
          <w:iCs/>
          <w:sz w:val="24"/>
          <w:szCs w:val="24"/>
        </w:rPr>
        <w:t xml:space="preserve"> diversos</w:t>
      </w:r>
      <w:r w:rsidR="0030304A" w:rsidRPr="003E7A82">
        <w:rPr>
          <w:rFonts w:ascii="Times New Roman" w:hAnsi="Times New Roman" w:cs="Times New Roman"/>
          <w:iCs/>
          <w:sz w:val="24"/>
          <w:szCs w:val="24"/>
        </w:rPr>
        <w:t xml:space="preserve">, </w:t>
      </w:r>
      <w:r w:rsidR="000A0D06" w:rsidRPr="003E7A82">
        <w:rPr>
          <w:rFonts w:ascii="Times New Roman" w:hAnsi="Times New Roman" w:cs="Times New Roman"/>
          <w:iCs/>
          <w:sz w:val="24"/>
          <w:szCs w:val="24"/>
        </w:rPr>
        <w:t xml:space="preserve">adicional </w:t>
      </w:r>
      <w:r w:rsidR="00572608" w:rsidRPr="003E7A82">
        <w:rPr>
          <w:rFonts w:ascii="Times New Roman" w:hAnsi="Times New Roman" w:cs="Times New Roman"/>
          <w:iCs/>
          <w:sz w:val="24"/>
          <w:szCs w:val="24"/>
        </w:rPr>
        <w:t>al</w:t>
      </w:r>
      <w:r w:rsidR="0030304A" w:rsidRPr="003E7A82">
        <w:rPr>
          <w:rFonts w:ascii="Times New Roman" w:hAnsi="Times New Roman" w:cs="Times New Roman"/>
          <w:iCs/>
          <w:sz w:val="24"/>
          <w:szCs w:val="24"/>
        </w:rPr>
        <w:t xml:space="preserve"> </w:t>
      </w:r>
      <w:r w:rsidR="00D24000" w:rsidRPr="003E7A82">
        <w:rPr>
          <w:rFonts w:ascii="Times New Roman" w:hAnsi="Times New Roman" w:cs="Times New Roman"/>
          <w:iCs/>
          <w:sz w:val="24"/>
          <w:szCs w:val="24"/>
        </w:rPr>
        <w:t>dominio de</w:t>
      </w:r>
      <w:r w:rsidR="0030304A" w:rsidRPr="003E7A82">
        <w:rPr>
          <w:rFonts w:ascii="Times New Roman" w:hAnsi="Times New Roman" w:cs="Times New Roman"/>
          <w:iCs/>
          <w:sz w:val="24"/>
          <w:szCs w:val="24"/>
        </w:rPr>
        <w:t xml:space="preserve"> tecnología</w:t>
      </w:r>
      <w:r w:rsidR="00831099" w:rsidRPr="003E7A82">
        <w:rPr>
          <w:rFonts w:ascii="Times New Roman" w:hAnsi="Times New Roman" w:cs="Times New Roman"/>
          <w:iCs/>
          <w:sz w:val="24"/>
          <w:szCs w:val="24"/>
        </w:rPr>
        <w:t>s como referente a</w:t>
      </w:r>
      <w:r w:rsidR="00D24000" w:rsidRPr="003E7A82">
        <w:rPr>
          <w:rFonts w:ascii="Times New Roman" w:hAnsi="Times New Roman" w:cs="Times New Roman"/>
          <w:iCs/>
          <w:sz w:val="24"/>
          <w:szCs w:val="24"/>
        </w:rPr>
        <w:t xml:space="preserve"> la inteligencia artificial, las</w:t>
      </w:r>
      <w:r w:rsidR="0030304A" w:rsidRPr="003E7A82">
        <w:rPr>
          <w:rFonts w:ascii="Times New Roman" w:hAnsi="Times New Roman" w:cs="Times New Roman"/>
          <w:iCs/>
          <w:sz w:val="24"/>
          <w:szCs w:val="24"/>
        </w:rPr>
        <w:t xml:space="preserve"> que evoluciona</w:t>
      </w:r>
      <w:r w:rsidR="00D24000" w:rsidRPr="003E7A82">
        <w:rPr>
          <w:rFonts w:ascii="Times New Roman" w:hAnsi="Times New Roman" w:cs="Times New Roman"/>
          <w:iCs/>
          <w:sz w:val="24"/>
          <w:szCs w:val="24"/>
        </w:rPr>
        <w:t>n para hacer más competitivo el desarrollo individual</w:t>
      </w:r>
      <w:r w:rsidR="00C70F61" w:rsidRPr="003E7A82">
        <w:rPr>
          <w:rFonts w:ascii="Times New Roman" w:hAnsi="Times New Roman" w:cs="Times New Roman"/>
          <w:iCs/>
          <w:sz w:val="24"/>
          <w:szCs w:val="24"/>
        </w:rPr>
        <w:t>, aunque más complejo</w:t>
      </w:r>
      <w:r w:rsidR="00D24000" w:rsidRPr="003E7A82">
        <w:rPr>
          <w:rFonts w:ascii="Times New Roman" w:hAnsi="Times New Roman" w:cs="Times New Roman"/>
          <w:iCs/>
          <w:sz w:val="24"/>
          <w:szCs w:val="24"/>
        </w:rPr>
        <w:t>.</w:t>
      </w:r>
      <w:r w:rsidR="0030304A" w:rsidRPr="003E7A82">
        <w:rPr>
          <w:rFonts w:ascii="Times New Roman" w:hAnsi="Times New Roman" w:cs="Times New Roman"/>
          <w:iCs/>
          <w:sz w:val="24"/>
          <w:szCs w:val="24"/>
        </w:rPr>
        <w:t xml:space="preserve"> </w:t>
      </w:r>
    </w:p>
    <w:p w14:paraId="06F5A547" w14:textId="4FF42A22" w:rsidR="00A519EF" w:rsidRPr="003E7A82" w:rsidRDefault="008A2252"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Gacel</w:t>
      </w:r>
      <w:r w:rsidR="00581090"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Ávila </w:t>
      </w:r>
      <w:r w:rsidR="00A519EF" w:rsidRPr="003E7A82">
        <w:rPr>
          <w:rFonts w:ascii="Times New Roman" w:hAnsi="Times New Roman" w:cs="Times New Roman"/>
          <w:iCs/>
          <w:sz w:val="24"/>
          <w:szCs w:val="24"/>
        </w:rPr>
        <w:t>señala a este respecto lo siguiente:</w:t>
      </w:r>
      <w:r w:rsidR="00C70F61" w:rsidRPr="003E7A82">
        <w:rPr>
          <w:rFonts w:ascii="Times New Roman" w:hAnsi="Times New Roman" w:cs="Times New Roman"/>
          <w:iCs/>
          <w:sz w:val="24"/>
          <w:szCs w:val="24"/>
        </w:rPr>
        <w:t xml:space="preserve"> </w:t>
      </w:r>
    </w:p>
    <w:p w14:paraId="541788AA" w14:textId="7F114A16" w:rsidR="00A519EF" w:rsidRPr="003E7A82" w:rsidRDefault="00A519EF" w:rsidP="00E77F98">
      <w:pPr>
        <w:spacing w:before="40" w:after="40" w:line="360" w:lineRule="auto"/>
        <w:ind w:left="567"/>
        <w:jc w:val="both"/>
        <w:rPr>
          <w:rFonts w:ascii="Times New Roman" w:hAnsi="Times New Roman" w:cs="Times New Roman"/>
          <w:iCs/>
          <w:sz w:val="24"/>
          <w:szCs w:val="24"/>
        </w:rPr>
      </w:pPr>
      <w:r w:rsidRPr="003E7A82">
        <w:rPr>
          <w:rFonts w:ascii="Times New Roman" w:hAnsi="Times New Roman" w:cs="Times New Roman"/>
          <w:iCs/>
          <w:sz w:val="24"/>
          <w:szCs w:val="24"/>
        </w:rPr>
        <w:t>La internacionalización de la educación superior debe ser entendida como una de las más importantes y coherentes respuestas de los universitarios al fenómeno llamado globalización, cuya máxima expresión es la creciente integración de los mercados debido a acuerdos internacionales de comercio y a la universalización de los circuitos financieros que buscan instaurar en todas partes sistemas productivos más eficaces, competitivos y rentables (</w:t>
      </w:r>
      <w:r w:rsidR="007D6F9F" w:rsidRPr="003E7A82">
        <w:rPr>
          <w:rFonts w:ascii="Times New Roman" w:hAnsi="Times New Roman" w:cs="Times New Roman"/>
          <w:iCs/>
          <w:sz w:val="24"/>
          <w:szCs w:val="24"/>
        </w:rPr>
        <w:t>Gacel-</w:t>
      </w:r>
      <w:r w:rsidR="00FF1548" w:rsidRPr="003E7A82">
        <w:rPr>
          <w:rFonts w:ascii="Times New Roman" w:hAnsi="Times New Roman" w:cs="Times New Roman"/>
          <w:iCs/>
          <w:sz w:val="24"/>
          <w:szCs w:val="24"/>
        </w:rPr>
        <w:t>Á</w:t>
      </w:r>
      <w:r w:rsidR="007D6F9F" w:rsidRPr="003E7A82">
        <w:rPr>
          <w:rFonts w:ascii="Times New Roman" w:hAnsi="Times New Roman" w:cs="Times New Roman"/>
          <w:iCs/>
          <w:sz w:val="24"/>
          <w:szCs w:val="24"/>
        </w:rPr>
        <w:t xml:space="preserve">vila, 1998, </w:t>
      </w:r>
      <w:r w:rsidRPr="003E7A82">
        <w:rPr>
          <w:rFonts w:ascii="Times New Roman" w:hAnsi="Times New Roman" w:cs="Times New Roman"/>
          <w:iCs/>
          <w:sz w:val="24"/>
          <w:szCs w:val="24"/>
        </w:rPr>
        <w:t>p.</w:t>
      </w:r>
      <w:r w:rsidR="00551E8E"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29)</w:t>
      </w:r>
      <w:r w:rsidR="00FF1548" w:rsidRPr="003E7A82">
        <w:rPr>
          <w:rFonts w:ascii="Times New Roman" w:hAnsi="Times New Roman" w:cs="Times New Roman"/>
          <w:iCs/>
          <w:sz w:val="24"/>
          <w:szCs w:val="24"/>
        </w:rPr>
        <w:t>.</w:t>
      </w:r>
    </w:p>
    <w:p w14:paraId="622C513D" w14:textId="6416AB9C" w:rsidR="00A40B08" w:rsidRPr="003E7A82" w:rsidRDefault="00BC244A"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En otras palabras, e</w:t>
      </w:r>
      <w:r w:rsidR="00A40B08" w:rsidRPr="003E7A82">
        <w:rPr>
          <w:rFonts w:ascii="Times New Roman" w:hAnsi="Times New Roman" w:cs="Times New Roman"/>
          <w:iCs/>
          <w:sz w:val="24"/>
          <w:szCs w:val="24"/>
        </w:rPr>
        <w:t>l autor</w:t>
      </w:r>
      <w:r w:rsidRPr="003E7A82">
        <w:rPr>
          <w:rFonts w:ascii="Times New Roman" w:hAnsi="Times New Roman" w:cs="Times New Roman"/>
          <w:iCs/>
          <w:sz w:val="24"/>
          <w:szCs w:val="24"/>
        </w:rPr>
        <w:t xml:space="preserve"> señala que</w:t>
      </w:r>
      <w:r w:rsidR="00A40B08" w:rsidRPr="003E7A82">
        <w:rPr>
          <w:rFonts w:ascii="Times New Roman" w:hAnsi="Times New Roman" w:cs="Times New Roman"/>
          <w:iCs/>
          <w:sz w:val="24"/>
          <w:szCs w:val="24"/>
        </w:rPr>
        <w:t xml:space="preserve"> las universidades mexicanas tienen el compromiso de gestar procesos de internacionalización docente y discente, así como de empatar planes de estudios acordes a las influencias y corrientes del pensamiento humanista, científico y tecnológico, cuyo objetivo es integrarse y formar parte de los diferentes ámbitos del quehacer bajo conocimientos y </w:t>
      </w:r>
      <w:r w:rsidR="00090489" w:rsidRPr="003E7A82">
        <w:rPr>
          <w:rFonts w:ascii="Times New Roman" w:hAnsi="Times New Roman" w:cs="Times New Roman"/>
          <w:iCs/>
          <w:sz w:val="24"/>
          <w:szCs w:val="24"/>
        </w:rPr>
        <w:t>habilidades</w:t>
      </w:r>
      <w:r w:rsidR="00A40B08" w:rsidRPr="003E7A82">
        <w:rPr>
          <w:rFonts w:ascii="Times New Roman" w:hAnsi="Times New Roman" w:cs="Times New Roman"/>
          <w:iCs/>
          <w:sz w:val="24"/>
          <w:szCs w:val="24"/>
        </w:rPr>
        <w:t xml:space="preserve"> que le permitan a México </w:t>
      </w:r>
      <w:r w:rsidR="00090489" w:rsidRPr="003E7A82">
        <w:rPr>
          <w:rFonts w:ascii="Times New Roman" w:hAnsi="Times New Roman" w:cs="Times New Roman"/>
          <w:iCs/>
          <w:sz w:val="24"/>
          <w:szCs w:val="24"/>
        </w:rPr>
        <w:t xml:space="preserve">ser más competitivo y </w:t>
      </w:r>
      <w:r w:rsidR="00A40B08" w:rsidRPr="003E7A82">
        <w:rPr>
          <w:rFonts w:ascii="Times New Roman" w:hAnsi="Times New Roman" w:cs="Times New Roman"/>
          <w:iCs/>
          <w:sz w:val="24"/>
          <w:szCs w:val="24"/>
        </w:rPr>
        <w:t xml:space="preserve">colocarse a la par de las economías más </w:t>
      </w:r>
      <w:r w:rsidR="0077034A" w:rsidRPr="003E7A82">
        <w:rPr>
          <w:rFonts w:ascii="Times New Roman" w:hAnsi="Times New Roman" w:cs="Times New Roman"/>
          <w:iCs/>
          <w:sz w:val="24"/>
          <w:szCs w:val="24"/>
        </w:rPr>
        <w:t>sobresalientes y autosustentables</w:t>
      </w:r>
      <w:r w:rsidR="00A40B08" w:rsidRPr="003E7A82">
        <w:rPr>
          <w:rFonts w:ascii="Times New Roman" w:hAnsi="Times New Roman" w:cs="Times New Roman"/>
          <w:iCs/>
          <w:sz w:val="24"/>
          <w:szCs w:val="24"/>
        </w:rPr>
        <w:t>.</w:t>
      </w:r>
      <w:r w:rsidR="00622A00" w:rsidRPr="003E7A82">
        <w:rPr>
          <w:rFonts w:ascii="Times New Roman" w:hAnsi="Times New Roman" w:cs="Times New Roman"/>
          <w:iCs/>
          <w:sz w:val="24"/>
          <w:szCs w:val="24"/>
        </w:rPr>
        <w:t xml:space="preserve"> </w:t>
      </w:r>
    </w:p>
    <w:p w14:paraId="0CDCE23E" w14:textId="3540B5EC" w:rsidR="00A40B08" w:rsidRPr="003E7A82" w:rsidRDefault="00622A00"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A este respecto, establece aspectos sobresalientes que deben observarse en vías de generar cambios sustanciales como </w:t>
      </w:r>
      <w:r w:rsidR="001613D3" w:rsidRPr="003E7A82">
        <w:rPr>
          <w:rFonts w:ascii="Times New Roman" w:hAnsi="Times New Roman" w:cs="Times New Roman"/>
          <w:iCs/>
          <w:sz w:val="24"/>
          <w:szCs w:val="24"/>
        </w:rPr>
        <w:t xml:space="preserve">lo </w:t>
      </w:r>
      <w:r w:rsidRPr="003E7A82">
        <w:rPr>
          <w:rFonts w:ascii="Times New Roman" w:hAnsi="Times New Roman" w:cs="Times New Roman"/>
          <w:iCs/>
          <w:sz w:val="24"/>
          <w:szCs w:val="24"/>
        </w:rPr>
        <w:t>son la participación de toda la comunidad universitaria bajo procesos de consulta que apoyen los programas institucionales con resultados derivados de la participación activa de lo</w:t>
      </w:r>
      <w:r w:rsidR="00B06790" w:rsidRPr="003E7A82">
        <w:rPr>
          <w:rFonts w:ascii="Times New Roman" w:hAnsi="Times New Roman" w:cs="Times New Roman"/>
          <w:iCs/>
          <w:sz w:val="24"/>
          <w:szCs w:val="24"/>
        </w:rPr>
        <w:t xml:space="preserve">s integrantes de la universidad; una estructura administrativa acorde a las demandas institucionales </w:t>
      </w:r>
      <w:r w:rsidR="00DA7B9E" w:rsidRPr="003E7A82">
        <w:rPr>
          <w:rFonts w:ascii="Times New Roman" w:hAnsi="Times New Roman" w:cs="Times New Roman"/>
          <w:iCs/>
          <w:sz w:val="24"/>
          <w:szCs w:val="24"/>
        </w:rPr>
        <w:t>que</w:t>
      </w:r>
      <w:r w:rsidR="00B06790" w:rsidRPr="003E7A82">
        <w:rPr>
          <w:rFonts w:ascii="Times New Roman" w:hAnsi="Times New Roman" w:cs="Times New Roman"/>
          <w:iCs/>
          <w:sz w:val="24"/>
          <w:szCs w:val="24"/>
        </w:rPr>
        <w:t xml:space="preserve"> resuelva las necesidades presentes en este rubro, para agilizar los trámites y procesos que llegan a detener el interca</w:t>
      </w:r>
      <w:r w:rsidR="00CC7901" w:rsidRPr="003E7A82">
        <w:rPr>
          <w:rFonts w:ascii="Times New Roman" w:hAnsi="Times New Roman" w:cs="Times New Roman"/>
          <w:iCs/>
          <w:sz w:val="24"/>
          <w:szCs w:val="24"/>
        </w:rPr>
        <w:t>mbio de la internacionalización; la gestión internacional, a partir de relaciones interinstitucionales</w:t>
      </w:r>
      <w:r w:rsidR="00D91EAE" w:rsidRPr="003E7A82">
        <w:rPr>
          <w:rFonts w:ascii="Times New Roman" w:hAnsi="Times New Roman" w:cs="Times New Roman"/>
          <w:iCs/>
          <w:sz w:val="24"/>
          <w:szCs w:val="24"/>
        </w:rPr>
        <w:t xml:space="preserve"> a través de personal capacitado y con experiencia en esta área</w:t>
      </w:r>
      <w:r w:rsidR="006037F7" w:rsidRPr="003E7A82">
        <w:rPr>
          <w:rFonts w:ascii="Times New Roman" w:hAnsi="Times New Roman" w:cs="Times New Roman"/>
          <w:iCs/>
          <w:sz w:val="24"/>
          <w:szCs w:val="24"/>
        </w:rPr>
        <w:t>, así como una visibilidad institucional;</w:t>
      </w:r>
      <w:r w:rsidR="00B47463" w:rsidRPr="003E7A82">
        <w:rPr>
          <w:rFonts w:ascii="Times New Roman" w:hAnsi="Times New Roman" w:cs="Times New Roman"/>
          <w:iCs/>
          <w:sz w:val="24"/>
          <w:szCs w:val="24"/>
        </w:rPr>
        <w:t xml:space="preserve"> la generación de fuentes de financiamiento que permitan llevar a cabo los planes en torno a la </w:t>
      </w:r>
      <w:r w:rsidR="00B47463" w:rsidRPr="003E7A82">
        <w:rPr>
          <w:rFonts w:ascii="Times New Roman" w:hAnsi="Times New Roman" w:cs="Times New Roman"/>
          <w:iCs/>
          <w:sz w:val="24"/>
          <w:szCs w:val="24"/>
        </w:rPr>
        <w:lastRenderedPageBreak/>
        <w:t xml:space="preserve">internacionalización en universidades extranjeras; contar con una infraestructura de servicios que facilite el intercambio interinstitucional </w:t>
      </w:r>
      <w:r w:rsidR="00C256D0" w:rsidRPr="003E7A82">
        <w:rPr>
          <w:rFonts w:ascii="Times New Roman" w:hAnsi="Times New Roman" w:cs="Times New Roman"/>
          <w:iCs/>
          <w:sz w:val="24"/>
          <w:szCs w:val="24"/>
        </w:rPr>
        <w:t>para</w:t>
      </w:r>
      <w:r w:rsidR="00B47463" w:rsidRPr="003E7A82">
        <w:rPr>
          <w:rFonts w:ascii="Times New Roman" w:hAnsi="Times New Roman" w:cs="Times New Roman"/>
          <w:iCs/>
          <w:sz w:val="24"/>
          <w:szCs w:val="24"/>
        </w:rPr>
        <w:t xml:space="preserve"> genera</w:t>
      </w:r>
      <w:r w:rsidR="00C256D0" w:rsidRPr="003E7A82">
        <w:rPr>
          <w:rFonts w:ascii="Times New Roman" w:hAnsi="Times New Roman" w:cs="Times New Roman"/>
          <w:iCs/>
          <w:sz w:val="24"/>
          <w:szCs w:val="24"/>
        </w:rPr>
        <w:t>r</w:t>
      </w:r>
      <w:r w:rsidR="00B47463" w:rsidRPr="003E7A82">
        <w:rPr>
          <w:rFonts w:ascii="Times New Roman" w:hAnsi="Times New Roman" w:cs="Times New Roman"/>
          <w:iCs/>
          <w:sz w:val="24"/>
          <w:szCs w:val="24"/>
        </w:rPr>
        <w:t xml:space="preserve"> experiencias que permit</w:t>
      </w:r>
      <w:r w:rsidR="00C256D0" w:rsidRPr="003E7A82">
        <w:rPr>
          <w:rFonts w:ascii="Times New Roman" w:hAnsi="Times New Roman" w:cs="Times New Roman"/>
          <w:iCs/>
          <w:sz w:val="24"/>
          <w:szCs w:val="24"/>
        </w:rPr>
        <w:t>a</w:t>
      </w:r>
      <w:r w:rsidR="00B47463" w:rsidRPr="003E7A82">
        <w:rPr>
          <w:rFonts w:ascii="Times New Roman" w:hAnsi="Times New Roman" w:cs="Times New Roman"/>
          <w:iCs/>
          <w:sz w:val="24"/>
          <w:szCs w:val="24"/>
        </w:rPr>
        <w:t>n la permanencia en este rubro;</w:t>
      </w:r>
      <w:r w:rsidR="004B053B" w:rsidRPr="003E7A82">
        <w:rPr>
          <w:rFonts w:ascii="Times New Roman" w:hAnsi="Times New Roman" w:cs="Times New Roman"/>
          <w:iCs/>
          <w:sz w:val="24"/>
          <w:szCs w:val="24"/>
        </w:rPr>
        <w:t xml:space="preserve"> sistemas de promoción, comunicación, información y difusión en la que se generen los contactos internacionales para una colaboración mutua y la normatividad, actualizando la reglamentación para que las universidades, sobre todo del sector público</w:t>
      </w:r>
      <w:r w:rsidR="005F7F09" w:rsidRPr="00EF4AA7">
        <w:rPr>
          <w:rFonts w:ascii="Times New Roman" w:hAnsi="Times New Roman" w:cs="Times New Roman"/>
          <w:iCs/>
          <w:sz w:val="24"/>
          <w:szCs w:val="24"/>
        </w:rPr>
        <w:t>,</w:t>
      </w:r>
      <w:r w:rsidR="004B053B" w:rsidRPr="003E7A82">
        <w:rPr>
          <w:rFonts w:ascii="Times New Roman" w:hAnsi="Times New Roman" w:cs="Times New Roman"/>
          <w:iCs/>
          <w:sz w:val="24"/>
          <w:szCs w:val="24"/>
        </w:rPr>
        <w:t xml:space="preserve"> tengan la oportunidad de generar la internacionalización.</w:t>
      </w:r>
    </w:p>
    <w:p w14:paraId="16934524" w14:textId="4354B5B2" w:rsidR="00595D22" w:rsidRPr="003E7A82" w:rsidRDefault="00EE679E"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Por otro lado, </w:t>
      </w:r>
      <w:r w:rsidR="000F3240" w:rsidRPr="003E7A82">
        <w:rPr>
          <w:rFonts w:ascii="Times New Roman" w:hAnsi="Times New Roman" w:cs="Times New Roman"/>
          <w:iCs/>
          <w:sz w:val="24"/>
          <w:szCs w:val="24"/>
        </w:rPr>
        <w:t xml:space="preserve">Fernández (2017) sostiene que </w:t>
      </w:r>
      <w:r w:rsidR="00595D22" w:rsidRPr="003E7A82">
        <w:rPr>
          <w:rFonts w:ascii="Times New Roman" w:hAnsi="Times New Roman" w:cs="Times New Roman"/>
          <w:iCs/>
          <w:sz w:val="24"/>
          <w:szCs w:val="24"/>
        </w:rPr>
        <w:t>l</w:t>
      </w:r>
      <w:r w:rsidR="004E4E73" w:rsidRPr="003E7A82">
        <w:rPr>
          <w:rFonts w:ascii="Times New Roman" w:hAnsi="Times New Roman" w:cs="Times New Roman"/>
          <w:iCs/>
          <w:sz w:val="24"/>
          <w:szCs w:val="24"/>
        </w:rPr>
        <w:t xml:space="preserve">a educación superior </w:t>
      </w:r>
      <w:r w:rsidR="001D605C" w:rsidRPr="003E7A82">
        <w:rPr>
          <w:rFonts w:ascii="Times New Roman" w:hAnsi="Times New Roman" w:cs="Times New Roman"/>
          <w:iCs/>
          <w:sz w:val="24"/>
          <w:szCs w:val="24"/>
        </w:rPr>
        <w:t xml:space="preserve">representa </w:t>
      </w:r>
      <w:r w:rsidR="004E4E73" w:rsidRPr="003E7A82">
        <w:rPr>
          <w:rFonts w:ascii="Times New Roman" w:hAnsi="Times New Roman" w:cs="Times New Roman"/>
          <w:iCs/>
          <w:sz w:val="24"/>
          <w:szCs w:val="24"/>
        </w:rPr>
        <w:t>un</w:t>
      </w:r>
      <w:r w:rsidR="009002C7" w:rsidRPr="003E7A82">
        <w:rPr>
          <w:rFonts w:ascii="Times New Roman" w:hAnsi="Times New Roman" w:cs="Times New Roman"/>
          <w:iCs/>
          <w:sz w:val="24"/>
          <w:szCs w:val="24"/>
        </w:rPr>
        <w:t>a herramienta</w:t>
      </w:r>
      <w:r w:rsidR="004E4E73" w:rsidRPr="003E7A82">
        <w:rPr>
          <w:rFonts w:ascii="Times New Roman" w:hAnsi="Times New Roman" w:cs="Times New Roman"/>
          <w:iCs/>
          <w:sz w:val="24"/>
          <w:szCs w:val="24"/>
        </w:rPr>
        <w:t xml:space="preserve"> estratég</w:t>
      </w:r>
      <w:r w:rsidR="001D605C" w:rsidRPr="003E7A82">
        <w:rPr>
          <w:rFonts w:ascii="Times New Roman" w:hAnsi="Times New Roman" w:cs="Times New Roman"/>
          <w:iCs/>
          <w:sz w:val="24"/>
          <w:szCs w:val="24"/>
        </w:rPr>
        <w:t>i</w:t>
      </w:r>
      <w:r w:rsidR="004E4E73" w:rsidRPr="003E7A82">
        <w:rPr>
          <w:rFonts w:ascii="Times New Roman" w:hAnsi="Times New Roman" w:cs="Times New Roman"/>
          <w:iCs/>
          <w:sz w:val="24"/>
          <w:szCs w:val="24"/>
        </w:rPr>
        <w:t>c</w:t>
      </w:r>
      <w:r w:rsidR="009002C7" w:rsidRPr="003E7A82">
        <w:rPr>
          <w:rFonts w:ascii="Times New Roman" w:hAnsi="Times New Roman" w:cs="Times New Roman"/>
          <w:iCs/>
          <w:sz w:val="24"/>
          <w:szCs w:val="24"/>
        </w:rPr>
        <w:t>a</w:t>
      </w:r>
      <w:r w:rsidR="004E4E73" w:rsidRPr="003E7A82">
        <w:rPr>
          <w:rFonts w:ascii="Times New Roman" w:hAnsi="Times New Roman" w:cs="Times New Roman"/>
          <w:iCs/>
          <w:sz w:val="24"/>
          <w:szCs w:val="24"/>
        </w:rPr>
        <w:t xml:space="preserve"> para </w:t>
      </w:r>
      <w:r w:rsidR="003F552D" w:rsidRPr="003E7A82">
        <w:rPr>
          <w:rFonts w:ascii="Times New Roman" w:hAnsi="Times New Roman" w:cs="Times New Roman"/>
          <w:iCs/>
          <w:sz w:val="24"/>
          <w:szCs w:val="24"/>
        </w:rPr>
        <w:t>cualquier país, ya que establece un</w:t>
      </w:r>
      <w:r w:rsidR="004E4E73" w:rsidRPr="003E7A82">
        <w:rPr>
          <w:rFonts w:ascii="Times New Roman" w:hAnsi="Times New Roman" w:cs="Times New Roman"/>
          <w:iCs/>
          <w:sz w:val="24"/>
          <w:szCs w:val="24"/>
        </w:rPr>
        <w:t xml:space="preserve"> vínculo indisoluble entre </w:t>
      </w:r>
      <w:r w:rsidR="0038249E" w:rsidRPr="003E7A82">
        <w:rPr>
          <w:rFonts w:ascii="Times New Roman" w:hAnsi="Times New Roman" w:cs="Times New Roman"/>
          <w:iCs/>
          <w:sz w:val="24"/>
          <w:szCs w:val="24"/>
        </w:rPr>
        <w:t xml:space="preserve">la producción y difusión de conocimiento y </w:t>
      </w:r>
      <w:r w:rsidR="004E4E73" w:rsidRPr="003E7A82">
        <w:rPr>
          <w:rFonts w:ascii="Times New Roman" w:hAnsi="Times New Roman" w:cs="Times New Roman"/>
          <w:iCs/>
          <w:sz w:val="24"/>
          <w:szCs w:val="24"/>
        </w:rPr>
        <w:t xml:space="preserve">la generación de capital humano </w:t>
      </w:r>
      <w:r w:rsidR="007B68E1" w:rsidRPr="003E7A82">
        <w:rPr>
          <w:rFonts w:ascii="Times New Roman" w:hAnsi="Times New Roman" w:cs="Times New Roman"/>
          <w:iCs/>
          <w:sz w:val="24"/>
          <w:szCs w:val="24"/>
        </w:rPr>
        <w:t>mediante una</w:t>
      </w:r>
      <w:r w:rsidR="004E4E73" w:rsidRPr="003E7A82">
        <w:rPr>
          <w:rFonts w:ascii="Times New Roman" w:hAnsi="Times New Roman" w:cs="Times New Roman"/>
          <w:iCs/>
          <w:sz w:val="24"/>
          <w:szCs w:val="24"/>
        </w:rPr>
        <w:t xml:space="preserve"> capacita</w:t>
      </w:r>
      <w:r w:rsidR="007B68E1" w:rsidRPr="003E7A82">
        <w:rPr>
          <w:rFonts w:ascii="Times New Roman" w:hAnsi="Times New Roman" w:cs="Times New Roman"/>
          <w:iCs/>
          <w:sz w:val="24"/>
          <w:szCs w:val="24"/>
        </w:rPr>
        <w:t>ción</w:t>
      </w:r>
      <w:r w:rsidR="004E4E73" w:rsidRPr="003E7A82">
        <w:rPr>
          <w:rFonts w:ascii="Times New Roman" w:hAnsi="Times New Roman" w:cs="Times New Roman"/>
          <w:iCs/>
          <w:sz w:val="24"/>
          <w:szCs w:val="24"/>
        </w:rPr>
        <w:t xml:space="preserve"> que </w:t>
      </w:r>
      <w:r w:rsidR="00801B2E" w:rsidRPr="003E7A82">
        <w:rPr>
          <w:rFonts w:ascii="Times New Roman" w:hAnsi="Times New Roman" w:cs="Times New Roman"/>
          <w:iCs/>
          <w:sz w:val="24"/>
          <w:szCs w:val="24"/>
        </w:rPr>
        <w:t>permita</w:t>
      </w:r>
      <w:r w:rsidR="004E4E73" w:rsidRPr="003E7A82">
        <w:rPr>
          <w:rFonts w:ascii="Times New Roman" w:hAnsi="Times New Roman" w:cs="Times New Roman"/>
          <w:iCs/>
          <w:sz w:val="24"/>
          <w:szCs w:val="24"/>
        </w:rPr>
        <w:t xml:space="preserve"> la </w:t>
      </w:r>
      <w:r w:rsidR="0002194A" w:rsidRPr="003E7A82">
        <w:rPr>
          <w:rFonts w:ascii="Times New Roman" w:hAnsi="Times New Roman" w:cs="Times New Roman"/>
          <w:iCs/>
          <w:sz w:val="24"/>
          <w:szCs w:val="24"/>
        </w:rPr>
        <w:t>evolución</w:t>
      </w:r>
      <w:r w:rsidR="004E4E73" w:rsidRPr="003E7A82">
        <w:rPr>
          <w:rFonts w:ascii="Times New Roman" w:hAnsi="Times New Roman" w:cs="Times New Roman"/>
          <w:iCs/>
          <w:sz w:val="24"/>
          <w:szCs w:val="24"/>
        </w:rPr>
        <w:t xml:space="preserve"> de sociedades </w:t>
      </w:r>
      <w:r w:rsidR="0002194A" w:rsidRPr="003E7A82">
        <w:rPr>
          <w:rFonts w:ascii="Times New Roman" w:hAnsi="Times New Roman" w:cs="Times New Roman"/>
          <w:iCs/>
          <w:sz w:val="24"/>
          <w:szCs w:val="24"/>
        </w:rPr>
        <w:t>j</w:t>
      </w:r>
      <w:r w:rsidR="004E4E73" w:rsidRPr="003E7A82">
        <w:rPr>
          <w:rFonts w:ascii="Times New Roman" w:hAnsi="Times New Roman" w:cs="Times New Roman"/>
          <w:iCs/>
          <w:sz w:val="24"/>
          <w:szCs w:val="24"/>
        </w:rPr>
        <w:t xml:space="preserve">ustas y </w:t>
      </w:r>
      <w:r w:rsidR="0050741E" w:rsidRPr="003E7A82">
        <w:rPr>
          <w:rFonts w:ascii="Times New Roman" w:hAnsi="Times New Roman" w:cs="Times New Roman"/>
          <w:iCs/>
          <w:sz w:val="24"/>
          <w:szCs w:val="24"/>
        </w:rPr>
        <w:t xml:space="preserve">de </w:t>
      </w:r>
      <w:r w:rsidR="004E4E73" w:rsidRPr="003E7A82">
        <w:rPr>
          <w:rFonts w:ascii="Times New Roman" w:hAnsi="Times New Roman" w:cs="Times New Roman"/>
          <w:iCs/>
          <w:sz w:val="24"/>
          <w:szCs w:val="24"/>
        </w:rPr>
        <w:t>economías competitivas</w:t>
      </w:r>
      <w:r w:rsidR="00595D22" w:rsidRPr="003E7A82">
        <w:rPr>
          <w:rFonts w:ascii="Times New Roman" w:hAnsi="Times New Roman" w:cs="Times New Roman"/>
          <w:iCs/>
          <w:sz w:val="24"/>
          <w:szCs w:val="24"/>
        </w:rPr>
        <w:t>.</w:t>
      </w:r>
      <w:r w:rsidR="004E4E73" w:rsidRPr="003E7A82">
        <w:rPr>
          <w:rFonts w:ascii="Times New Roman" w:hAnsi="Times New Roman" w:cs="Times New Roman"/>
          <w:iCs/>
          <w:sz w:val="24"/>
          <w:szCs w:val="24"/>
        </w:rPr>
        <w:t xml:space="preserve"> </w:t>
      </w:r>
    </w:p>
    <w:p w14:paraId="04A96809" w14:textId="2086709E" w:rsidR="004E4E73" w:rsidRPr="003E7A82" w:rsidRDefault="009274CD"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El dilema para México </w:t>
      </w:r>
      <w:r w:rsidR="002A09F7" w:rsidRPr="003E7A82">
        <w:rPr>
          <w:rFonts w:ascii="Times New Roman" w:hAnsi="Times New Roman" w:cs="Times New Roman"/>
          <w:iCs/>
          <w:sz w:val="24"/>
          <w:szCs w:val="24"/>
        </w:rPr>
        <w:t>radica en c</w:t>
      </w:r>
      <w:r w:rsidR="005F7F09" w:rsidRPr="00EF4AA7">
        <w:rPr>
          <w:rFonts w:ascii="Times New Roman" w:hAnsi="Times New Roman" w:cs="Times New Roman"/>
          <w:iCs/>
          <w:sz w:val="24"/>
          <w:szCs w:val="24"/>
        </w:rPr>
        <w:t>ó</w:t>
      </w:r>
      <w:r w:rsidR="002A09F7" w:rsidRPr="003E7A82">
        <w:rPr>
          <w:rFonts w:ascii="Times New Roman" w:hAnsi="Times New Roman" w:cs="Times New Roman"/>
          <w:iCs/>
          <w:sz w:val="24"/>
          <w:szCs w:val="24"/>
        </w:rPr>
        <w:t xml:space="preserve">mo </w:t>
      </w:r>
      <w:r w:rsidR="00E50FD9" w:rsidRPr="003E7A82">
        <w:rPr>
          <w:rFonts w:ascii="Times New Roman" w:hAnsi="Times New Roman" w:cs="Times New Roman"/>
          <w:iCs/>
          <w:sz w:val="24"/>
          <w:szCs w:val="24"/>
        </w:rPr>
        <w:t xml:space="preserve">alinear el desarrollo del conocimiento para que su </w:t>
      </w:r>
      <w:r w:rsidR="00A9499A" w:rsidRPr="003E7A82">
        <w:rPr>
          <w:rFonts w:ascii="Times New Roman" w:hAnsi="Times New Roman" w:cs="Times New Roman"/>
          <w:iCs/>
          <w:sz w:val="24"/>
          <w:szCs w:val="24"/>
        </w:rPr>
        <w:t xml:space="preserve">cultura, su economía y su sociedad se encuentren </w:t>
      </w:r>
      <w:r w:rsidR="00CA0BDD" w:rsidRPr="003E7A82">
        <w:rPr>
          <w:rFonts w:ascii="Times New Roman" w:hAnsi="Times New Roman" w:cs="Times New Roman"/>
          <w:iCs/>
          <w:sz w:val="24"/>
          <w:szCs w:val="24"/>
        </w:rPr>
        <w:t>“</w:t>
      </w:r>
      <w:r w:rsidR="004E4E73" w:rsidRPr="003E7A82">
        <w:rPr>
          <w:rFonts w:ascii="Times New Roman" w:hAnsi="Times New Roman" w:cs="Times New Roman"/>
          <w:iCs/>
          <w:sz w:val="24"/>
          <w:szCs w:val="24"/>
        </w:rPr>
        <w:t>a la altura de las mejores prácticas y</w:t>
      </w:r>
      <w:r w:rsidR="00AE0380" w:rsidRPr="003E7A82">
        <w:rPr>
          <w:rFonts w:ascii="Times New Roman" w:hAnsi="Times New Roman" w:cs="Times New Roman"/>
          <w:iCs/>
          <w:sz w:val="24"/>
          <w:szCs w:val="24"/>
        </w:rPr>
        <w:t xml:space="preserve"> </w:t>
      </w:r>
      <w:r w:rsidR="004E4E73" w:rsidRPr="003E7A82">
        <w:rPr>
          <w:rFonts w:ascii="Times New Roman" w:hAnsi="Times New Roman" w:cs="Times New Roman"/>
          <w:iCs/>
          <w:sz w:val="24"/>
          <w:szCs w:val="24"/>
        </w:rPr>
        <w:t>estándares internacionales en materia de formación profesional, investigación científica y desarrollo tecnológico</w:t>
      </w:r>
      <w:r w:rsidR="00CA0BDD" w:rsidRPr="003E7A82">
        <w:rPr>
          <w:rFonts w:ascii="Times New Roman" w:hAnsi="Times New Roman" w:cs="Times New Roman"/>
          <w:iCs/>
          <w:sz w:val="24"/>
          <w:szCs w:val="24"/>
        </w:rPr>
        <w:t>”</w:t>
      </w:r>
      <w:r w:rsidR="008E443F" w:rsidRPr="003E7A82">
        <w:rPr>
          <w:rFonts w:ascii="Times New Roman" w:hAnsi="Times New Roman" w:cs="Times New Roman"/>
          <w:iCs/>
          <w:sz w:val="24"/>
          <w:szCs w:val="24"/>
        </w:rPr>
        <w:t xml:space="preserve"> (Fernández, 2017, p</w:t>
      </w:r>
      <w:r w:rsidR="00A519EF" w:rsidRPr="003E7A82">
        <w:rPr>
          <w:rFonts w:ascii="Times New Roman" w:hAnsi="Times New Roman" w:cs="Times New Roman"/>
          <w:iCs/>
          <w:sz w:val="24"/>
          <w:szCs w:val="24"/>
        </w:rPr>
        <w:t>.</w:t>
      </w:r>
      <w:r w:rsidR="00551E8E" w:rsidRPr="003E7A82">
        <w:rPr>
          <w:rFonts w:ascii="Times New Roman" w:hAnsi="Times New Roman" w:cs="Times New Roman"/>
          <w:iCs/>
          <w:sz w:val="24"/>
          <w:szCs w:val="24"/>
        </w:rPr>
        <w:t xml:space="preserve"> </w:t>
      </w:r>
      <w:r w:rsidR="00E0198D" w:rsidRPr="003E7A82">
        <w:rPr>
          <w:rFonts w:ascii="Times New Roman" w:hAnsi="Times New Roman" w:cs="Times New Roman"/>
          <w:iCs/>
          <w:sz w:val="24"/>
          <w:szCs w:val="24"/>
        </w:rPr>
        <w:t>183</w:t>
      </w:r>
      <w:r w:rsidR="008E443F" w:rsidRPr="003E7A82">
        <w:rPr>
          <w:rFonts w:ascii="Times New Roman" w:hAnsi="Times New Roman" w:cs="Times New Roman"/>
          <w:iCs/>
          <w:sz w:val="24"/>
          <w:szCs w:val="24"/>
        </w:rPr>
        <w:t>)</w:t>
      </w:r>
      <w:r w:rsidR="00F9794B" w:rsidRPr="003E7A82">
        <w:rPr>
          <w:rFonts w:ascii="Times New Roman" w:hAnsi="Times New Roman" w:cs="Times New Roman"/>
          <w:iCs/>
          <w:sz w:val="24"/>
          <w:szCs w:val="24"/>
        </w:rPr>
        <w:t xml:space="preserve"> y al mismo tiempo </w:t>
      </w:r>
      <w:r w:rsidR="0067387D" w:rsidRPr="003E7A82">
        <w:rPr>
          <w:rFonts w:ascii="Times New Roman" w:hAnsi="Times New Roman" w:cs="Times New Roman"/>
          <w:iCs/>
          <w:sz w:val="24"/>
          <w:szCs w:val="24"/>
        </w:rPr>
        <w:t xml:space="preserve">se atiendan los retos que </w:t>
      </w:r>
      <w:r w:rsidR="0079650D" w:rsidRPr="003E7A82">
        <w:rPr>
          <w:rFonts w:ascii="Times New Roman" w:hAnsi="Times New Roman" w:cs="Times New Roman"/>
          <w:iCs/>
          <w:sz w:val="24"/>
          <w:szCs w:val="24"/>
        </w:rPr>
        <w:t>enf</w:t>
      </w:r>
      <w:r w:rsidR="003E5B8E" w:rsidRPr="003E7A82">
        <w:rPr>
          <w:rFonts w:ascii="Times New Roman" w:hAnsi="Times New Roman" w:cs="Times New Roman"/>
          <w:iCs/>
          <w:sz w:val="24"/>
          <w:szCs w:val="24"/>
        </w:rPr>
        <w:t xml:space="preserve">rentan </w:t>
      </w:r>
      <w:r w:rsidR="0067387D" w:rsidRPr="003E7A82">
        <w:rPr>
          <w:rFonts w:ascii="Times New Roman" w:hAnsi="Times New Roman" w:cs="Times New Roman"/>
          <w:iCs/>
          <w:sz w:val="24"/>
          <w:szCs w:val="24"/>
        </w:rPr>
        <w:t>sus estructuras económica y poblacional</w:t>
      </w:r>
      <w:r w:rsidR="00C86891" w:rsidRPr="003E7A82">
        <w:rPr>
          <w:rFonts w:ascii="Times New Roman" w:hAnsi="Times New Roman" w:cs="Times New Roman"/>
          <w:iCs/>
          <w:sz w:val="24"/>
          <w:szCs w:val="24"/>
        </w:rPr>
        <w:t>.</w:t>
      </w:r>
    </w:p>
    <w:p w14:paraId="56AB8282" w14:textId="313FCFD1" w:rsidR="00FF700B" w:rsidRPr="003E7A82" w:rsidRDefault="004412F6"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Conforme a </w:t>
      </w:r>
      <w:r w:rsidR="004E4E73" w:rsidRPr="003E7A82">
        <w:rPr>
          <w:rFonts w:ascii="Times New Roman" w:hAnsi="Times New Roman" w:cs="Times New Roman"/>
          <w:iCs/>
          <w:sz w:val="24"/>
          <w:szCs w:val="24"/>
        </w:rPr>
        <w:t>la Conferencia Mundial sobre la Educación Superior de la UNESCO (2009</w:t>
      </w:r>
      <w:r w:rsidR="003E2332">
        <w:rPr>
          <w:rFonts w:ascii="Times New Roman" w:hAnsi="Times New Roman" w:cs="Times New Roman"/>
          <w:iCs/>
          <w:sz w:val="24"/>
          <w:szCs w:val="24"/>
        </w:rPr>
        <w:t>, citado en Fernández Fassnacht, 2017, p.184</w:t>
      </w:r>
      <w:r w:rsidR="004E4E73" w:rsidRPr="003E7A82">
        <w:rPr>
          <w:rFonts w:ascii="Times New Roman" w:hAnsi="Times New Roman" w:cs="Times New Roman"/>
          <w:iCs/>
          <w:sz w:val="24"/>
          <w:szCs w:val="24"/>
        </w:rPr>
        <w:t>)</w:t>
      </w:r>
      <w:r w:rsidR="005F7F09" w:rsidRPr="003E7A82">
        <w:rPr>
          <w:rFonts w:ascii="Times New Roman" w:hAnsi="Times New Roman" w:cs="Times New Roman"/>
          <w:iCs/>
          <w:sz w:val="24"/>
          <w:szCs w:val="24"/>
        </w:rPr>
        <w:t xml:space="preserve"> </w:t>
      </w:r>
      <w:r w:rsidR="001D7715">
        <w:rPr>
          <w:rFonts w:ascii="Times New Roman" w:hAnsi="Times New Roman" w:cs="Times New Roman"/>
          <w:iCs/>
          <w:sz w:val="24"/>
          <w:szCs w:val="24"/>
        </w:rPr>
        <w:t>lo</w:t>
      </w:r>
      <w:r w:rsidR="004E4E73" w:rsidRPr="003E7A82">
        <w:rPr>
          <w:rFonts w:ascii="Times New Roman" w:hAnsi="Times New Roman" w:cs="Times New Roman"/>
          <w:iCs/>
          <w:sz w:val="24"/>
          <w:szCs w:val="24"/>
        </w:rPr>
        <w:t xml:space="preserve">s retos </w:t>
      </w:r>
      <w:r w:rsidR="00BE3049" w:rsidRPr="003E7A82">
        <w:rPr>
          <w:rFonts w:ascii="Times New Roman" w:hAnsi="Times New Roman" w:cs="Times New Roman"/>
          <w:iCs/>
          <w:sz w:val="24"/>
          <w:szCs w:val="24"/>
        </w:rPr>
        <w:t>d</w:t>
      </w:r>
      <w:r w:rsidR="004E4E73" w:rsidRPr="003E7A82">
        <w:rPr>
          <w:rFonts w:ascii="Times New Roman" w:hAnsi="Times New Roman" w:cs="Times New Roman"/>
          <w:iCs/>
          <w:sz w:val="24"/>
          <w:szCs w:val="24"/>
        </w:rPr>
        <w:t xml:space="preserve">e </w:t>
      </w:r>
      <w:r w:rsidR="00BE3049" w:rsidRPr="003E7A82">
        <w:rPr>
          <w:rFonts w:ascii="Times New Roman" w:hAnsi="Times New Roman" w:cs="Times New Roman"/>
          <w:iCs/>
          <w:sz w:val="24"/>
          <w:szCs w:val="24"/>
        </w:rPr>
        <w:t xml:space="preserve">la educación superior </w:t>
      </w:r>
      <w:r w:rsidR="004E4E73" w:rsidRPr="003E7A82">
        <w:rPr>
          <w:rFonts w:ascii="Times New Roman" w:hAnsi="Times New Roman" w:cs="Times New Roman"/>
          <w:iCs/>
          <w:sz w:val="24"/>
          <w:szCs w:val="24"/>
        </w:rPr>
        <w:t xml:space="preserve">en el siglo XXI </w:t>
      </w:r>
      <w:r w:rsidR="00C36D28" w:rsidRPr="003E7A82">
        <w:rPr>
          <w:rFonts w:ascii="Times New Roman" w:hAnsi="Times New Roman" w:cs="Times New Roman"/>
          <w:iCs/>
          <w:sz w:val="24"/>
          <w:szCs w:val="24"/>
        </w:rPr>
        <w:t xml:space="preserve">se encuentran en </w:t>
      </w:r>
      <w:r w:rsidR="004E4E73" w:rsidRPr="003E7A82">
        <w:rPr>
          <w:rFonts w:ascii="Times New Roman" w:hAnsi="Times New Roman" w:cs="Times New Roman"/>
          <w:iCs/>
          <w:sz w:val="24"/>
          <w:szCs w:val="24"/>
        </w:rPr>
        <w:t xml:space="preserve">la comprensión </w:t>
      </w:r>
      <w:r w:rsidR="00C36D28" w:rsidRPr="003E7A82">
        <w:rPr>
          <w:rFonts w:ascii="Times New Roman" w:hAnsi="Times New Roman" w:cs="Times New Roman"/>
          <w:iCs/>
          <w:sz w:val="24"/>
          <w:szCs w:val="24"/>
        </w:rPr>
        <w:t xml:space="preserve">de </w:t>
      </w:r>
      <w:r w:rsidR="004E4E73" w:rsidRPr="003E7A82">
        <w:rPr>
          <w:rFonts w:ascii="Times New Roman" w:hAnsi="Times New Roman" w:cs="Times New Roman"/>
          <w:iCs/>
          <w:sz w:val="24"/>
          <w:szCs w:val="24"/>
        </w:rPr>
        <w:t xml:space="preserve">los </w:t>
      </w:r>
      <w:r w:rsidR="0082449A" w:rsidRPr="003E7A82">
        <w:rPr>
          <w:rFonts w:ascii="Times New Roman" w:hAnsi="Times New Roman" w:cs="Times New Roman"/>
          <w:iCs/>
          <w:sz w:val="24"/>
          <w:szCs w:val="24"/>
        </w:rPr>
        <w:t xml:space="preserve">cada vez más </w:t>
      </w:r>
      <w:r w:rsidR="004E4E73" w:rsidRPr="003E7A82">
        <w:rPr>
          <w:rFonts w:ascii="Times New Roman" w:hAnsi="Times New Roman" w:cs="Times New Roman"/>
          <w:iCs/>
          <w:sz w:val="24"/>
          <w:szCs w:val="24"/>
        </w:rPr>
        <w:t>complejos problemas de la</w:t>
      </w:r>
      <w:r w:rsidR="0082449A" w:rsidRPr="003E7A82">
        <w:rPr>
          <w:rFonts w:ascii="Times New Roman" w:hAnsi="Times New Roman" w:cs="Times New Roman"/>
          <w:iCs/>
          <w:sz w:val="24"/>
          <w:szCs w:val="24"/>
        </w:rPr>
        <w:t xml:space="preserve"> s</w:t>
      </w:r>
      <w:r w:rsidR="004E4E73" w:rsidRPr="003E7A82">
        <w:rPr>
          <w:rFonts w:ascii="Times New Roman" w:hAnsi="Times New Roman" w:cs="Times New Roman"/>
          <w:iCs/>
          <w:sz w:val="24"/>
          <w:szCs w:val="24"/>
        </w:rPr>
        <w:t xml:space="preserve">ociedad y en </w:t>
      </w:r>
      <w:r w:rsidR="00DF7972" w:rsidRPr="003E7A82">
        <w:rPr>
          <w:rFonts w:ascii="Times New Roman" w:hAnsi="Times New Roman" w:cs="Times New Roman"/>
          <w:iCs/>
          <w:sz w:val="24"/>
          <w:szCs w:val="24"/>
        </w:rPr>
        <w:t>la</w:t>
      </w:r>
      <w:r w:rsidR="004E4E73" w:rsidRPr="003E7A82">
        <w:rPr>
          <w:rFonts w:ascii="Times New Roman" w:hAnsi="Times New Roman" w:cs="Times New Roman"/>
          <w:iCs/>
          <w:sz w:val="24"/>
          <w:szCs w:val="24"/>
        </w:rPr>
        <w:t xml:space="preserve"> capacidad </w:t>
      </w:r>
      <w:r w:rsidR="00DF7972" w:rsidRPr="003E7A82">
        <w:rPr>
          <w:rFonts w:ascii="Times New Roman" w:hAnsi="Times New Roman" w:cs="Times New Roman"/>
          <w:iCs/>
          <w:sz w:val="24"/>
          <w:szCs w:val="24"/>
        </w:rPr>
        <w:t>de resolverlos</w:t>
      </w:r>
      <w:r w:rsidR="005F7F09" w:rsidRPr="001D7715">
        <w:rPr>
          <w:rFonts w:ascii="Times New Roman" w:hAnsi="Times New Roman" w:cs="Times New Roman"/>
          <w:iCs/>
          <w:sz w:val="24"/>
          <w:szCs w:val="24"/>
        </w:rPr>
        <w:t>;</w:t>
      </w:r>
      <w:r w:rsidR="005064D4" w:rsidRPr="001D7715">
        <w:rPr>
          <w:rFonts w:ascii="Times New Roman" w:hAnsi="Times New Roman" w:cs="Times New Roman"/>
          <w:iCs/>
          <w:sz w:val="24"/>
          <w:szCs w:val="24"/>
        </w:rPr>
        <w:t xml:space="preserve"> </w:t>
      </w:r>
      <w:r w:rsidR="00D63B0A" w:rsidRPr="001D7715">
        <w:rPr>
          <w:rFonts w:ascii="Times New Roman" w:hAnsi="Times New Roman" w:cs="Times New Roman"/>
          <w:iCs/>
          <w:sz w:val="24"/>
          <w:szCs w:val="24"/>
        </w:rPr>
        <w:t>es decir</w:t>
      </w:r>
      <w:r w:rsidR="005F7F09" w:rsidRPr="001D7715">
        <w:rPr>
          <w:rFonts w:ascii="Times New Roman" w:hAnsi="Times New Roman" w:cs="Times New Roman"/>
          <w:iCs/>
          <w:sz w:val="24"/>
          <w:szCs w:val="24"/>
        </w:rPr>
        <w:t>,</w:t>
      </w:r>
      <w:r w:rsidR="004E4E73" w:rsidRPr="003E7A82">
        <w:rPr>
          <w:rFonts w:ascii="Times New Roman" w:hAnsi="Times New Roman" w:cs="Times New Roman"/>
          <w:iCs/>
          <w:sz w:val="24"/>
          <w:szCs w:val="24"/>
        </w:rPr>
        <w:t xml:space="preserve"> la educación superior </w:t>
      </w:r>
      <w:r w:rsidR="005064D4" w:rsidRPr="003E7A82">
        <w:rPr>
          <w:rFonts w:ascii="Times New Roman" w:hAnsi="Times New Roman" w:cs="Times New Roman"/>
          <w:iCs/>
          <w:sz w:val="24"/>
          <w:szCs w:val="24"/>
        </w:rPr>
        <w:t>repr</w:t>
      </w:r>
      <w:r w:rsidR="004E4E73" w:rsidRPr="003E7A82">
        <w:rPr>
          <w:rFonts w:ascii="Times New Roman" w:hAnsi="Times New Roman" w:cs="Times New Roman"/>
          <w:iCs/>
          <w:sz w:val="24"/>
          <w:szCs w:val="24"/>
        </w:rPr>
        <w:t>es</w:t>
      </w:r>
      <w:r w:rsidR="005064D4" w:rsidRPr="003E7A82">
        <w:rPr>
          <w:rFonts w:ascii="Times New Roman" w:hAnsi="Times New Roman" w:cs="Times New Roman"/>
          <w:iCs/>
          <w:sz w:val="24"/>
          <w:szCs w:val="24"/>
        </w:rPr>
        <w:t>enta</w:t>
      </w:r>
      <w:r w:rsidR="001B6DCB" w:rsidRPr="003E7A82">
        <w:rPr>
          <w:rFonts w:ascii="Times New Roman" w:hAnsi="Times New Roman" w:cs="Times New Roman"/>
          <w:iCs/>
          <w:sz w:val="24"/>
          <w:szCs w:val="24"/>
        </w:rPr>
        <w:t xml:space="preserve"> el espacio en el que dichos problemas se pueden analizar </w:t>
      </w:r>
      <w:r w:rsidR="00AB1E65" w:rsidRPr="003E7A82">
        <w:rPr>
          <w:rFonts w:ascii="Times New Roman" w:hAnsi="Times New Roman" w:cs="Times New Roman"/>
          <w:iCs/>
          <w:sz w:val="24"/>
          <w:szCs w:val="24"/>
        </w:rPr>
        <w:t>para encontrar las soluciones más adecuadas</w:t>
      </w:r>
      <w:r w:rsidR="00970866" w:rsidRPr="003E7A82">
        <w:rPr>
          <w:rFonts w:ascii="Times New Roman" w:hAnsi="Times New Roman" w:cs="Times New Roman"/>
          <w:iCs/>
          <w:sz w:val="24"/>
          <w:szCs w:val="24"/>
        </w:rPr>
        <w:t xml:space="preserve"> por lo que es fundamental</w:t>
      </w:r>
      <w:r w:rsidR="0056308F" w:rsidRPr="003E7A82">
        <w:rPr>
          <w:rFonts w:ascii="Times New Roman" w:hAnsi="Times New Roman" w:cs="Times New Roman"/>
          <w:iCs/>
          <w:sz w:val="24"/>
          <w:szCs w:val="24"/>
        </w:rPr>
        <w:t xml:space="preserve"> desarrollar</w:t>
      </w:r>
      <w:r w:rsidR="0070568E" w:rsidRPr="003E7A82">
        <w:rPr>
          <w:rFonts w:ascii="Times New Roman" w:hAnsi="Times New Roman" w:cs="Times New Roman"/>
          <w:iCs/>
          <w:sz w:val="24"/>
          <w:szCs w:val="24"/>
        </w:rPr>
        <w:t xml:space="preserve"> </w:t>
      </w:r>
      <w:r w:rsidR="00CA13A3" w:rsidRPr="003E7A82">
        <w:rPr>
          <w:rFonts w:ascii="Times New Roman" w:hAnsi="Times New Roman" w:cs="Times New Roman"/>
          <w:iCs/>
          <w:sz w:val="24"/>
          <w:szCs w:val="24"/>
        </w:rPr>
        <w:t>la investigación, la difusión de la cultura y la transferencia de conocimientos</w:t>
      </w:r>
      <w:r w:rsidR="00FF700B" w:rsidRPr="003E7A82">
        <w:rPr>
          <w:rFonts w:ascii="Times New Roman" w:hAnsi="Times New Roman" w:cs="Times New Roman"/>
          <w:iCs/>
          <w:sz w:val="24"/>
          <w:szCs w:val="24"/>
        </w:rPr>
        <w:t xml:space="preserve"> necesarias para tal propósito.</w:t>
      </w:r>
      <w:r w:rsidR="00CA13A3" w:rsidRPr="003E7A82">
        <w:rPr>
          <w:rFonts w:ascii="Times New Roman" w:hAnsi="Times New Roman" w:cs="Times New Roman"/>
          <w:iCs/>
          <w:sz w:val="24"/>
          <w:szCs w:val="24"/>
        </w:rPr>
        <w:t xml:space="preserve"> </w:t>
      </w:r>
      <w:r w:rsidR="004E4E73" w:rsidRPr="003E7A82">
        <w:rPr>
          <w:rFonts w:ascii="Times New Roman" w:hAnsi="Times New Roman" w:cs="Times New Roman"/>
          <w:iCs/>
          <w:sz w:val="24"/>
          <w:szCs w:val="24"/>
        </w:rPr>
        <w:t xml:space="preserve"> </w:t>
      </w:r>
    </w:p>
    <w:p w14:paraId="24C36F48" w14:textId="7B28A805" w:rsidR="003E7A82" w:rsidRDefault="000F7472"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Fernández (2017) considera que</w:t>
      </w:r>
      <w:r w:rsidR="004E4E73" w:rsidRPr="003E7A82">
        <w:rPr>
          <w:rFonts w:ascii="Times New Roman" w:hAnsi="Times New Roman" w:cs="Times New Roman"/>
          <w:iCs/>
          <w:sz w:val="24"/>
          <w:szCs w:val="24"/>
        </w:rPr>
        <w:t xml:space="preserve"> </w:t>
      </w:r>
      <w:r w:rsidR="00125B8B" w:rsidRPr="003E7A82">
        <w:rPr>
          <w:rFonts w:ascii="Times New Roman" w:hAnsi="Times New Roman" w:cs="Times New Roman"/>
          <w:iCs/>
          <w:sz w:val="24"/>
          <w:szCs w:val="24"/>
        </w:rPr>
        <w:t>“</w:t>
      </w:r>
      <w:r w:rsidR="004E4E73" w:rsidRPr="003E7A82">
        <w:rPr>
          <w:rFonts w:ascii="Times New Roman" w:hAnsi="Times New Roman" w:cs="Times New Roman"/>
          <w:iCs/>
          <w:sz w:val="24"/>
          <w:szCs w:val="24"/>
        </w:rPr>
        <w:t>México cuenta con un sistema de educación superior robusto y diversificado</w:t>
      </w:r>
      <w:r w:rsidR="00125B8B" w:rsidRPr="003E7A82">
        <w:rPr>
          <w:rFonts w:ascii="Times New Roman" w:hAnsi="Times New Roman" w:cs="Times New Roman"/>
          <w:iCs/>
          <w:sz w:val="24"/>
          <w:szCs w:val="24"/>
        </w:rPr>
        <w:t>”</w:t>
      </w:r>
      <w:r w:rsidR="009E1FF5" w:rsidRPr="003E7A82">
        <w:rPr>
          <w:rFonts w:ascii="Times New Roman" w:hAnsi="Times New Roman" w:cs="Times New Roman"/>
          <w:iCs/>
          <w:sz w:val="24"/>
          <w:szCs w:val="24"/>
        </w:rPr>
        <w:t xml:space="preserve"> pero aún enfrenta</w:t>
      </w:r>
      <w:r w:rsidR="004E4E73" w:rsidRPr="003E7A82">
        <w:rPr>
          <w:rFonts w:ascii="Times New Roman" w:hAnsi="Times New Roman" w:cs="Times New Roman"/>
          <w:iCs/>
          <w:sz w:val="24"/>
          <w:szCs w:val="24"/>
        </w:rPr>
        <w:t xml:space="preserve"> problemas estructurales significativos</w:t>
      </w:r>
      <w:r w:rsidR="00AA62AD" w:rsidRPr="003E7A82">
        <w:rPr>
          <w:rFonts w:ascii="Times New Roman" w:hAnsi="Times New Roman" w:cs="Times New Roman"/>
          <w:iCs/>
          <w:sz w:val="24"/>
          <w:szCs w:val="24"/>
        </w:rPr>
        <w:t>, lo cual lo sitúa en un dilema de</w:t>
      </w:r>
      <w:r w:rsidR="00B52AB0" w:rsidRPr="003E7A82">
        <w:rPr>
          <w:rFonts w:ascii="Times New Roman" w:hAnsi="Times New Roman" w:cs="Times New Roman"/>
          <w:iCs/>
          <w:sz w:val="24"/>
          <w:szCs w:val="24"/>
        </w:rPr>
        <w:t xml:space="preserve"> habilitar este nivel de educación para todo nivel social y económico</w:t>
      </w:r>
      <w:r w:rsidR="006E7A7B" w:rsidRPr="003E7A82">
        <w:rPr>
          <w:rFonts w:ascii="Times New Roman" w:hAnsi="Times New Roman" w:cs="Times New Roman"/>
          <w:iCs/>
          <w:sz w:val="24"/>
          <w:szCs w:val="24"/>
        </w:rPr>
        <w:t xml:space="preserve"> con una educación superior renovada que</w:t>
      </w:r>
      <w:r w:rsidR="00CA0BDD" w:rsidRPr="003E7A82">
        <w:rPr>
          <w:rFonts w:ascii="Times New Roman" w:hAnsi="Times New Roman" w:cs="Times New Roman"/>
          <w:iCs/>
          <w:sz w:val="24"/>
          <w:szCs w:val="24"/>
        </w:rPr>
        <w:t xml:space="preserve"> resuelva estos problemas con </w:t>
      </w:r>
      <w:r w:rsidR="00125B8B" w:rsidRPr="003E7A82">
        <w:rPr>
          <w:rFonts w:ascii="Times New Roman" w:hAnsi="Times New Roman" w:cs="Times New Roman"/>
          <w:iCs/>
          <w:sz w:val="24"/>
          <w:szCs w:val="24"/>
        </w:rPr>
        <w:t>“</w:t>
      </w:r>
      <w:r w:rsidR="004E4E73" w:rsidRPr="003E7A82">
        <w:rPr>
          <w:rFonts w:ascii="Times New Roman" w:hAnsi="Times New Roman" w:cs="Times New Roman"/>
          <w:iCs/>
          <w:sz w:val="24"/>
          <w:szCs w:val="24"/>
        </w:rPr>
        <w:t>una perspectiva integral, sostenible y sistémica</w:t>
      </w:r>
      <w:r w:rsidR="00125B8B" w:rsidRPr="003E7A82">
        <w:rPr>
          <w:rFonts w:ascii="Times New Roman" w:hAnsi="Times New Roman" w:cs="Times New Roman"/>
          <w:iCs/>
          <w:sz w:val="24"/>
          <w:szCs w:val="24"/>
        </w:rPr>
        <w:t>”</w:t>
      </w:r>
      <w:r w:rsidR="00F759D9" w:rsidRPr="003E7A82">
        <w:rPr>
          <w:rFonts w:ascii="Times New Roman" w:hAnsi="Times New Roman" w:cs="Times New Roman"/>
          <w:iCs/>
          <w:sz w:val="24"/>
          <w:szCs w:val="24"/>
        </w:rPr>
        <w:t xml:space="preserve"> </w:t>
      </w:r>
      <w:r w:rsidR="00457746" w:rsidRPr="003E7A82">
        <w:rPr>
          <w:rFonts w:ascii="Times New Roman" w:hAnsi="Times New Roman" w:cs="Times New Roman"/>
          <w:iCs/>
          <w:sz w:val="24"/>
          <w:szCs w:val="24"/>
        </w:rPr>
        <w:t>(</w:t>
      </w:r>
      <w:r w:rsidR="00F759D9" w:rsidRPr="003E7A82">
        <w:rPr>
          <w:rFonts w:ascii="Times New Roman" w:hAnsi="Times New Roman" w:cs="Times New Roman"/>
          <w:iCs/>
          <w:sz w:val="24"/>
          <w:szCs w:val="24"/>
        </w:rPr>
        <w:t>Fernández</w:t>
      </w:r>
      <w:r w:rsidR="00457746" w:rsidRPr="003E7A82">
        <w:rPr>
          <w:rFonts w:ascii="Times New Roman" w:hAnsi="Times New Roman" w:cs="Times New Roman"/>
          <w:iCs/>
          <w:sz w:val="24"/>
          <w:szCs w:val="24"/>
        </w:rPr>
        <w:t xml:space="preserve">, </w:t>
      </w:r>
      <w:r w:rsidR="00F759D9" w:rsidRPr="003E7A82">
        <w:rPr>
          <w:rFonts w:ascii="Times New Roman" w:hAnsi="Times New Roman" w:cs="Times New Roman"/>
          <w:iCs/>
          <w:sz w:val="24"/>
          <w:szCs w:val="24"/>
        </w:rPr>
        <w:t>2017</w:t>
      </w:r>
      <w:r w:rsidR="00457746" w:rsidRPr="003E7A82">
        <w:rPr>
          <w:rFonts w:ascii="Times New Roman" w:hAnsi="Times New Roman" w:cs="Times New Roman"/>
          <w:iCs/>
          <w:sz w:val="24"/>
          <w:szCs w:val="24"/>
        </w:rPr>
        <w:t>, p.</w:t>
      </w:r>
      <w:r w:rsidR="00551E8E" w:rsidRPr="003E7A82">
        <w:rPr>
          <w:rFonts w:ascii="Times New Roman" w:hAnsi="Times New Roman" w:cs="Times New Roman"/>
          <w:iCs/>
          <w:sz w:val="24"/>
          <w:szCs w:val="24"/>
        </w:rPr>
        <w:t xml:space="preserve"> </w:t>
      </w:r>
      <w:r w:rsidR="00457746" w:rsidRPr="003E7A82">
        <w:rPr>
          <w:rFonts w:ascii="Times New Roman" w:hAnsi="Times New Roman" w:cs="Times New Roman"/>
          <w:iCs/>
          <w:sz w:val="24"/>
          <w:szCs w:val="24"/>
        </w:rPr>
        <w:t>184</w:t>
      </w:r>
      <w:r w:rsidR="00F759D9" w:rsidRPr="003E7A82">
        <w:rPr>
          <w:rFonts w:ascii="Times New Roman" w:hAnsi="Times New Roman" w:cs="Times New Roman"/>
          <w:iCs/>
          <w:sz w:val="24"/>
          <w:szCs w:val="24"/>
        </w:rPr>
        <w:t>)</w:t>
      </w:r>
      <w:r w:rsidR="004E4E73" w:rsidRPr="003E7A82">
        <w:rPr>
          <w:rFonts w:ascii="Times New Roman" w:hAnsi="Times New Roman" w:cs="Times New Roman"/>
          <w:iCs/>
          <w:sz w:val="24"/>
          <w:szCs w:val="24"/>
        </w:rPr>
        <w:t xml:space="preserve">, que facilite que los beneficios de este nivel educativo se extiendan a todos los sectores sociales y económicos. </w:t>
      </w:r>
    </w:p>
    <w:p w14:paraId="07554704" w14:textId="77777777" w:rsidR="00E77F98" w:rsidRPr="003E7A82" w:rsidRDefault="00E77F98" w:rsidP="00E77F98">
      <w:pPr>
        <w:spacing w:before="40" w:after="40" w:line="360" w:lineRule="auto"/>
        <w:jc w:val="both"/>
        <w:rPr>
          <w:rFonts w:ascii="Times New Roman" w:hAnsi="Times New Roman" w:cs="Times New Roman"/>
          <w:iCs/>
          <w:sz w:val="24"/>
          <w:szCs w:val="24"/>
        </w:rPr>
      </w:pPr>
    </w:p>
    <w:p w14:paraId="13E9548F" w14:textId="2F16B4DD" w:rsidR="007232BB" w:rsidRPr="003E7A82" w:rsidRDefault="007232BB" w:rsidP="00E77F98">
      <w:pPr>
        <w:spacing w:before="40" w:after="40" w:line="360" w:lineRule="auto"/>
        <w:jc w:val="center"/>
        <w:rPr>
          <w:rFonts w:ascii="Times New Roman" w:hAnsi="Times New Roman" w:cs="Times New Roman"/>
          <w:i/>
          <w:sz w:val="24"/>
          <w:szCs w:val="24"/>
        </w:rPr>
      </w:pPr>
      <w:r w:rsidRPr="003E7A82">
        <w:rPr>
          <w:rFonts w:ascii="Times New Roman" w:hAnsi="Times New Roman" w:cs="Times New Roman"/>
          <w:b/>
          <w:bCs/>
          <w:iCs/>
          <w:sz w:val="28"/>
          <w:szCs w:val="28"/>
        </w:rPr>
        <w:t>Retos financieros, tecnológicos, sociales, ambientales, políticos y</w:t>
      </w:r>
      <w:r w:rsidR="00883530" w:rsidRPr="003E7A82">
        <w:rPr>
          <w:rFonts w:ascii="Times New Roman" w:hAnsi="Times New Roman" w:cs="Times New Roman"/>
          <w:b/>
          <w:bCs/>
          <w:iCs/>
          <w:sz w:val="28"/>
          <w:szCs w:val="28"/>
        </w:rPr>
        <w:t xml:space="preserve"> </w:t>
      </w:r>
      <w:r w:rsidRPr="003E7A82">
        <w:rPr>
          <w:rFonts w:ascii="Times New Roman" w:hAnsi="Times New Roman" w:cs="Times New Roman"/>
          <w:b/>
          <w:bCs/>
          <w:iCs/>
          <w:sz w:val="28"/>
          <w:szCs w:val="28"/>
        </w:rPr>
        <w:t>culturales que enfrenta la educación superior en México</w:t>
      </w:r>
    </w:p>
    <w:p w14:paraId="0DB84AC3" w14:textId="3C2A61C6" w:rsidR="003D0C82" w:rsidRPr="003E7A82" w:rsidRDefault="003D0C82"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lastRenderedPageBreak/>
        <w:t>En México, se han gestado una serie de cambios importantes en torno a la educación superior</w:t>
      </w:r>
      <w:r w:rsidR="005F7F09" w:rsidRPr="003E7A82">
        <w:rPr>
          <w:rFonts w:ascii="Times New Roman" w:hAnsi="Times New Roman" w:cs="Times New Roman"/>
          <w:sz w:val="24"/>
          <w:szCs w:val="24"/>
        </w:rPr>
        <w:t>,</w:t>
      </w:r>
      <w:r w:rsidRPr="003E7A82">
        <w:rPr>
          <w:rFonts w:ascii="Times New Roman" w:hAnsi="Times New Roman" w:cs="Times New Roman"/>
          <w:sz w:val="24"/>
          <w:szCs w:val="24"/>
        </w:rPr>
        <w:t xml:space="preserve"> a este respecto la ANUIES (2018) realiza un señalamiento relacionado con una gobernanza sistémica:</w:t>
      </w:r>
    </w:p>
    <w:p w14:paraId="7218D5F5" w14:textId="59818A43" w:rsidR="003D0C82" w:rsidRPr="003E7A82" w:rsidRDefault="003D0C82" w:rsidP="00E77F98">
      <w:pPr>
        <w:tabs>
          <w:tab w:val="left" w:pos="284"/>
        </w:tabs>
        <w:spacing w:before="40" w:after="40" w:line="360" w:lineRule="auto"/>
        <w:ind w:left="284"/>
        <w:jc w:val="both"/>
        <w:rPr>
          <w:rFonts w:ascii="Times New Roman" w:hAnsi="Times New Roman" w:cs="Times New Roman"/>
          <w:sz w:val="24"/>
          <w:szCs w:val="24"/>
        </w:rPr>
      </w:pPr>
      <w:r w:rsidRPr="003E7A82">
        <w:rPr>
          <w:rFonts w:ascii="Times New Roman" w:hAnsi="Times New Roman" w:cs="Times New Roman"/>
          <w:sz w:val="24"/>
          <w:szCs w:val="24"/>
        </w:rPr>
        <w:t>Aunque se reconocen importantes avances en la educación superior, resulta evidente que existe una problemática derivada de una débil articulación entre las capacidades y responsabilidades de los distintos actores involucrados en los procesos de gobierno y gestión de la educación superior, situación que se vuelve más compleja por la diversidad de tipos de instituciones y la heterogeneidad de su desempeño. En general, esta situación dificulta la implementación de políticas públicas transversales para la planeación, la programación y la presupuestación; el logro de acuerdos para el reconocimiento de créditos; la movilidad de estudiantes y docentes; la colaboración y complementariedad de capacidades entre distintos subsistemas que funcionan como estancos; y la vinculación con el nivel medio superior (</w:t>
      </w:r>
      <w:r w:rsidR="00005246" w:rsidRPr="003E7A82">
        <w:rPr>
          <w:rFonts w:ascii="Times New Roman" w:hAnsi="Times New Roman" w:cs="Times New Roman"/>
          <w:sz w:val="24"/>
          <w:szCs w:val="24"/>
        </w:rPr>
        <w:t xml:space="preserve">ANUIES, </w:t>
      </w:r>
      <w:r w:rsidR="008D1B79" w:rsidRPr="003E7A82">
        <w:rPr>
          <w:rFonts w:ascii="Times New Roman" w:hAnsi="Times New Roman" w:cs="Times New Roman"/>
          <w:sz w:val="24"/>
          <w:szCs w:val="24"/>
        </w:rPr>
        <w:t xml:space="preserve">2018, </w:t>
      </w:r>
      <w:r w:rsidRPr="003E7A82">
        <w:rPr>
          <w:rFonts w:ascii="Times New Roman" w:hAnsi="Times New Roman" w:cs="Times New Roman"/>
          <w:sz w:val="24"/>
          <w:szCs w:val="24"/>
        </w:rPr>
        <w:t>p.</w:t>
      </w:r>
      <w:r w:rsidR="00551E8E" w:rsidRPr="003E7A82">
        <w:rPr>
          <w:rFonts w:ascii="Times New Roman" w:hAnsi="Times New Roman" w:cs="Times New Roman"/>
          <w:sz w:val="24"/>
          <w:szCs w:val="24"/>
        </w:rPr>
        <w:t xml:space="preserve"> </w:t>
      </w:r>
      <w:r w:rsidRPr="003E7A82">
        <w:rPr>
          <w:rFonts w:ascii="Times New Roman" w:hAnsi="Times New Roman" w:cs="Times New Roman"/>
          <w:sz w:val="24"/>
          <w:szCs w:val="24"/>
        </w:rPr>
        <w:t>48)</w:t>
      </w:r>
      <w:r w:rsidR="008D1B79" w:rsidRPr="003E7A82">
        <w:rPr>
          <w:rFonts w:ascii="Times New Roman" w:hAnsi="Times New Roman" w:cs="Times New Roman"/>
          <w:sz w:val="24"/>
          <w:szCs w:val="24"/>
        </w:rPr>
        <w:t>.</w:t>
      </w:r>
      <w:r w:rsidR="005F7F09" w:rsidRPr="003E7A82">
        <w:rPr>
          <w:rFonts w:ascii="Times New Roman" w:hAnsi="Times New Roman" w:cs="Times New Roman"/>
          <w:sz w:val="24"/>
          <w:szCs w:val="24"/>
        </w:rPr>
        <w:t xml:space="preserve"> </w:t>
      </w:r>
    </w:p>
    <w:p w14:paraId="3DD4FDE8" w14:textId="2167603A" w:rsidR="003D0C82" w:rsidRPr="003E7A82" w:rsidRDefault="003D0C82"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 xml:space="preserve">Lo anterior evidencia la </w:t>
      </w:r>
      <w:r w:rsidR="00210BD5" w:rsidRPr="003E7A82">
        <w:rPr>
          <w:rFonts w:ascii="Times New Roman" w:hAnsi="Times New Roman" w:cs="Times New Roman"/>
          <w:sz w:val="24"/>
          <w:szCs w:val="24"/>
        </w:rPr>
        <w:t xml:space="preserve">falta de </w:t>
      </w:r>
      <w:r w:rsidRPr="003E7A82">
        <w:rPr>
          <w:rFonts w:ascii="Times New Roman" w:hAnsi="Times New Roman" w:cs="Times New Roman"/>
          <w:sz w:val="24"/>
          <w:szCs w:val="24"/>
        </w:rPr>
        <w:t>coordinación de las distintas instancias que forman parte del sistema educativo nacional y principalmente de la educación superior. Por ello, no se ha generado una adecuada relación de las acciones en torno a esta sistematización al desaprovechar todos los aspectos a favor de esta, y desatendiendo los que requieren ser reforzados o modificados para hacer más eficientes los procedimientos que l</w:t>
      </w:r>
      <w:r w:rsidR="009F27AC" w:rsidRPr="003E7A82">
        <w:rPr>
          <w:rFonts w:ascii="Times New Roman" w:hAnsi="Times New Roman" w:cs="Times New Roman"/>
          <w:sz w:val="24"/>
          <w:szCs w:val="24"/>
        </w:rPr>
        <w:t>e</w:t>
      </w:r>
      <w:r w:rsidRPr="003E7A82">
        <w:rPr>
          <w:rFonts w:ascii="Times New Roman" w:hAnsi="Times New Roman" w:cs="Times New Roman"/>
          <w:sz w:val="24"/>
          <w:szCs w:val="24"/>
        </w:rPr>
        <w:t xml:space="preserve"> </w:t>
      </w:r>
      <w:r w:rsidR="009F27AC" w:rsidRPr="003E7A82">
        <w:rPr>
          <w:rFonts w:ascii="Times New Roman" w:hAnsi="Times New Roman" w:cs="Times New Roman"/>
          <w:sz w:val="24"/>
          <w:szCs w:val="24"/>
        </w:rPr>
        <w:t>permitan</w:t>
      </w:r>
      <w:r w:rsidRPr="003E7A82">
        <w:rPr>
          <w:rFonts w:ascii="Times New Roman" w:hAnsi="Times New Roman" w:cs="Times New Roman"/>
          <w:sz w:val="24"/>
          <w:szCs w:val="24"/>
        </w:rPr>
        <w:t xml:space="preserve"> elevar la calidad del proceso enseñanza-aprendizaje al interior de las aulas entre educandos y educadores. Así, se requiere de una serie de políticas con las que se reconozcan las necesidades en vías de contar con una mejor educación en México. Sin embargo, existen una serie de retos que deben resolverse para cumplir con dichos objetivos y colocar a las universidades mexicanas a la par de las más sobresalientes a nivel mundial.</w:t>
      </w:r>
    </w:p>
    <w:p w14:paraId="2F1D8852" w14:textId="6BDFE4D4" w:rsidR="003D0C82" w:rsidRPr="003E7A82" w:rsidRDefault="003D0C82"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 xml:space="preserve">En el caso del financiamiento otorgado a las instituciones de educación superior, de acuerdo con la ANUIES, se reconocen problemáticas multicausales que </w:t>
      </w:r>
      <w:r w:rsidR="00CE60FD" w:rsidRPr="003E7A82">
        <w:rPr>
          <w:rFonts w:ascii="Times New Roman" w:hAnsi="Times New Roman" w:cs="Times New Roman"/>
          <w:sz w:val="24"/>
          <w:szCs w:val="24"/>
        </w:rPr>
        <w:t>al</w:t>
      </w:r>
      <w:r w:rsidR="00FF7856" w:rsidRPr="003E7A82">
        <w:rPr>
          <w:rFonts w:ascii="Times New Roman" w:hAnsi="Times New Roman" w:cs="Times New Roman"/>
          <w:sz w:val="24"/>
          <w:szCs w:val="24"/>
        </w:rPr>
        <w:t xml:space="preserve"> no contar con</w:t>
      </w:r>
      <w:r w:rsidRPr="003E7A82">
        <w:rPr>
          <w:rFonts w:ascii="Times New Roman" w:hAnsi="Times New Roman" w:cs="Times New Roman"/>
          <w:sz w:val="24"/>
          <w:szCs w:val="24"/>
        </w:rPr>
        <w:t xml:space="preserve"> soluciones plausibles restan operatividad a este sector educativo; aunado a ello, se suman procedimientos y requisitos que llegan a ser inoperables en las dinámicas de trabajo de las universidades, escuelas, centros e institutos, todas ellos dependientes de</w:t>
      </w:r>
      <w:r w:rsidR="001C21C7" w:rsidRPr="003E7A82">
        <w:rPr>
          <w:rFonts w:ascii="Times New Roman" w:hAnsi="Times New Roman" w:cs="Times New Roman"/>
          <w:sz w:val="24"/>
          <w:szCs w:val="24"/>
        </w:rPr>
        <w:t xml:space="preserve"> </w:t>
      </w:r>
      <w:r w:rsidRPr="003E7A82">
        <w:rPr>
          <w:rFonts w:ascii="Times New Roman" w:hAnsi="Times New Roman" w:cs="Times New Roman"/>
          <w:sz w:val="24"/>
          <w:szCs w:val="24"/>
        </w:rPr>
        <w:t>l</w:t>
      </w:r>
      <w:r w:rsidR="001C21C7" w:rsidRPr="003E7A82">
        <w:rPr>
          <w:rFonts w:ascii="Times New Roman" w:hAnsi="Times New Roman" w:cs="Times New Roman"/>
          <w:sz w:val="24"/>
          <w:szCs w:val="24"/>
        </w:rPr>
        <w:t>os</w:t>
      </w:r>
      <w:r w:rsidRPr="003E7A82">
        <w:rPr>
          <w:rFonts w:ascii="Times New Roman" w:hAnsi="Times New Roman" w:cs="Times New Roman"/>
          <w:sz w:val="24"/>
          <w:szCs w:val="24"/>
        </w:rPr>
        <w:t xml:space="preserve"> gobierno</w:t>
      </w:r>
      <w:r w:rsidR="001C21C7" w:rsidRPr="003E7A82">
        <w:rPr>
          <w:rFonts w:ascii="Times New Roman" w:hAnsi="Times New Roman" w:cs="Times New Roman"/>
          <w:sz w:val="24"/>
          <w:szCs w:val="24"/>
        </w:rPr>
        <w:t>s</w:t>
      </w:r>
      <w:r w:rsidRPr="003E7A82">
        <w:rPr>
          <w:rFonts w:ascii="Times New Roman" w:hAnsi="Times New Roman" w:cs="Times New Roman"/>
          <w:sz w:val="24"/>
          <w:szCs w:val="24"/>
        </w:rPr>
        <w:t xml:space="preserve"> </w:t>
      </w:r>
      <w:r w:rsidR="001C21C7" w:rsidRPr="003E7A82">
        <w:rPr>
          <w:rFonts w:ascii="Times New Roman" w:hAnsi="Times New Roman" w:cs="Times New Roman"/>
          <w:sz w:val="24"/>
          <w:szCs w:val="24"/>
        </w:rPr>
        <w:t>e</w:t>
      </w:r>
      <w:r w:rsidRPr="003E7A82">
        <w:rPr>
          <w:rFonts w:ascii="Times New Roman" w:hAnsi="Times New Roman" w:cs="Times New Roman"/>
          <w:sz w:val="24"/>
          <w:szCs w:val="24"/>
        </w:rPr>
        <w:t xml:space="preserve">statal y </w:t>
      </w:r>
      <w:r w:rsidR="001C21C7" w:rsidRPr="003E7A82">
        <w:rPr>
          <w:rFonts w:ascii="Times New Roman" w:hAnsi="Times New Roman" w:cs="Times New Roman"/>
          <w:sz w:val="24"/>
          <w:szCs w:val="24"/>
        </w:rPr>
        <w:t>f</w:t>
      </w:r>
      <w:r w:rsidRPr="003E7A82">
        <w:rPr>
          <w:rFonts w:ascii="Times New Roman" w:hAnsi="Times New Roman" w:cs="Times New Roman"/>
          <w:sz w:val="24"/>
          <w:szCs w:val="24"/>
        </w:rPr>
        <w:t xml:space="preserve">ederal, sumándose también las problemáticas específicas de cada una. </w:t>
      </w:r>
    </w:p>
    <w:p w14:paraId="1B037FDE" w14:textId="78144FB3" w:rsidR="003D0C82" w:rsidRPr="003E7A82" w:rsidRDefault="003D0C82"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El caso de la infraestructura tecnológica en el sector educativo superior se caracteriza por ser uno de l</w:t>
      </w:r>
      <w:r w:rsidR="00CA0BDD" w:rsidRPr="003E7A82">
        <w:rPr>
          <w:rFonts w:ascii="Times New Roman" w:hAnsi="Times New Roman" w:cs="Times New Roman"/>
          <w:sz w:val="24"/>
          <w:szCs w:val="24"/>
        </w:rPr>
        <w:t xml:space="preserve">os problemas más sobresalientes, </w:t>
      </w:r>
      <w:r w:rsidR="009F3C29" w:rsidRPr="003E7A82">
        <w:rPr>
          <w:rFonts w:ascii="Times New Roman" w:hAnsi="Times New Roman" w:cs="Times New Roman"/>
          <w:sz w:val="24"/>
          <w:szCs w:val="24"/>
        </w:rPr>
        <w:t xml:space="preserve">particularmente </w:t>
      </w:r>
      <w:r w:rsidR="00CA0BDD" w:rsidRPr="003E7A82">
        <w:rPr>
          <w:rFonts w:ascii="Times New Roman" w:hAnsi="Times New Roman" w:cs="Times New Roman"/>
          <w:sz w:val="24"/>
          <w:szCs w:val="24"/>
        </w:rPr>
        <w:t xml:space="preserve">los relacionados con </w:t>
      </w:r>
      <w:r w:rsidRPr="003E7A82">
        <w:rPr>
          <w:rFonts w:ascii="Times New Roman" w:hAnsi="Times New Roman" w:cs="Times New Roman"/>
          <w:sz w:val="24"/>
          <w:szCs w:val="24"/>
        </w:rPr>
        <w:t xml:space="preserve">software y hardware inadecuados para las demandas específicas de cada una de las licenciaturas; </w:t>
      </w:r>
      <w:r w:rsidR="00B5390C" w:rsidRPr="003E7A82">
        <w:rPr>
          <w:rFonts w:ascii="Times New Roman" w:hAnsi="Times New Roman" w:cs="Times New Roman"/>
          <w:sz w:val="24"/>
          <w:szCs w:val="24"/>
        </w:rPr>
        <w:t xml:space="preserve">la carencia de </w:t>
      </w:r>
      <w:r w:rsidRPr="003E7A82">
        <w:rPr>
          <w:rFonts w:ascii="Times New Roman" w:hAnsi="Times New Roman" w:cs="Times New Roman"/>
          <w:sz w:val="24"/>
          <w:szCs w:val="24"/>
        </w:rPr>
        <w:t xml:space="preserve">redes de </w:t>
      </w:r>
      <w:r w:rsidR="005F7F09" w:rsidRPr="003E7A82">
        <w:rPr>
          <w:rFonts w:ascii="Times New Roman" w:hAnsi="Times New Roman" w:cs="Times New Roman"/>
          <w:sz w:val="24"/>
          <w:szCs w:val="24"/>
        </w:rPr>
        <w:t>I</w:t>
      </w:r>
      <w:r w:rsidRPr="003E7A82">
        <w:rPr>
          <w:rFonts w:ascii="Times New Roman" w:hAnsi="Times New Roman" w:cs="Times New Roman"/>
          <w:sz w:val="24"/>
          <w:szCs w:val="24"/>
        </w:rPr>
        <w:t>nternet que cubran las necesidades de los d</w:t>
      </w:r>
      <w:r w:rsidR="00106D0F" w:rsidRPr="003E7A82">
        <w:rPr>
          <w:rFonts w:ascii="Times New Roman" w:hAnsi="Times New Roman" w:cs="Times New Roman"/>
          <w:sz w:val="24"/>
          <w:szCs w:val="24"/>
        </w:rPr>
        <w:t>o</w:t>
      </w:r>
      <w:r w:rsidRPr="003E7A82">
        <w:rPr>
          <w:rFonts w:ascii="Times New Roman" w:hAnsi="Times New Roman" w:cs="Times New Roman"/>
          <w:sz w:val="24"/>
          <w:szCs w:val="24"/>
        </w:rPr>
        <w:t xml:space="preserve">centes, profesores y personal que laboran en cada campus </w:t>
      </w:r>
      <w:r w:rsidR="00775B0B" w:rsidRPr="003E7A82">
        <w:rPr>
          <w:rFonts w:ascii="Times New Roman" w:hAnsi="Times New Roman" w:cs="Times New Roman"/>
          <w:sz w:val="24"/>
          <w:szCs w:val="24"/>
        </w:rPr>
        <w:t xml:space="preserve">para </w:t>
      </w:r>
      <w:r w:rsidRPr="003E7A82">
        <w:rPr>
          <w:rFonts w:ascii="Times New Roman" w:hAnsi="Times New Roman" w:cs="Times New Roman"/>
          <w:sz w:val="24"/>
          <w:szCs w:val="24"/>
        </w:rPr>
        <w:t>elev</w:t>
      </w:r>
      <w:r w:rsidR="00775B0B" w:rsidRPr="003E7A82">
        <w:rPr>
          <w:rFonts w:ascii="Times New Roman" w:hAnsi="Times New Roman" w:cs="Times New Roman"/>
          <w:sz w:val="24"/>
          <w:szCs w:val="24"/>
        </w:rPr>
        <w:t>ar</w:t>
      </w:r>
      <w:r w:rsidRPr="003E7A82">
        <w:rPr>
          <w:rFonts w:ascii="Times New Roman" w:hAnsi="Times New Roman" w:cs="Times New Roman"/>
          <w:sz w:val="24"/>
          <w:szCs w:val="24"/>
        </w:rPr>
        <w:t xml:space="preserve"> así la calidad de la educación en general. </w:t>
      </w:r>
      <w:r w:rsidR="005F7F09" w:rsidRPr="001D7715">
        <w:rPr>
          <w:rFonts w:ascii="Times New Roman" w:hAnsi="Times New Roman" w:cs="Times New Roman"/>
          <w:sz w:val="24"/>
          <w:szCs w:val="24"/>
        </w:rPr>
        <w:t xml:space="preserve">Desde una </w:t>
      </w:r>
      <w:r w:rsidR="005F7F09" w:rsidRPr="001D7715">
        <w:rPr>
          <w:rFonts w:ascii="Times New Roman" w:hAnsi="Times New Roman" w:cs="Times New Roman"/>
          <w:sz w:val="24"/>
          <w:szCs w:val="24"/>
        </w:rPr>
        <w:lastRenderedPageBreak/>
        <w:t>perspectiva social, la educación superior enfrenta un desafío significativo, ya que los cambios sociales actuales requieren de la formación de profesionales altamente capacitados en diversas áreas del conocimiento. Estos profesionales deben ser capaces no solo de impulsar y apoyar dichos cambios, sino también de analizar y resolver las problemáticas complejas del entorno social. De</w:t>
      </w:r>
      <w:r w:rsidRPr="001D7715">
        <w:rPr>
          <w:rFonts w:ascii="Times New Roman" w:hAnsi="Times New Roman" w:cs="Times New Roman"/>
          <w:sz w:val="24"/>
          <w:szCs w:val="24"/>
        </w:rPr>
        <w:t xml:space="preserve"> la misma manera, la educación superior se presenta como el pilar de la</w:t>
      </w:r>
      <w:r w:rsidRPr="003E7A82">
        <w:rPr>
          <w:rFonts w:ascii="Times New Roman" w:hAnsi="Times New Roman" w:cs="Times New Roman"/>
          <w:sz w:val="24"/>
          <w:szCs w:val="24"/>
        </w:rPr>
        <w:t xml:space="preserve"> cultura de la población</w:t>
      </w:r>
      <w:r w:rsidR="00CA0BDD" w:rsidRPr="003E7A82">
        <w:rPr>
          <w:rFonts w:ascii="Times New Roman" w:hAnsi="Times New Roman" w:cs="Times New Roman"/>
          <w:sz w:val="24"/>
          <w:szCs w:val="24"/>
        </w:rPr>
        <w:t>,</w:t>
      </w:r>
      <w:r w:rsidRPr="003E7A82">
        <w:rPr>
          <w:rFonts w:ascii="Times New Roman" w:hAnsi="Times New Roman" w:cs="Times New Roman"/>
          <w:sz w:val="24"/>
          <w:szCs w:val="24"/>
        </w:rPr>
        <w:t xml:space="preserve"> y </w:t>
      </w:r>
      <w:r w:rsidR="00CA0BDD" w:rsidRPr="003E7A82">
        <w:rPr>
          <w:rFonts w:ascii="Times New Roman" w:hAnsi="Times New Roman" w:cs="Times New Roman"/>
          <w:sz w:val="24"/>
          <w:szCs w:val="24"/>
        </w:rPr>
        <w:t>e</w:t>
      </w:r>
      <w:r w:rsidRPr="003E7A82">
        <w:rPr>
          <w:rFonts w:ascii="Times New Roman" w:hAnsi="Times New Roman" w:cs="Times New Roman"/>
          <w:sz w:val="24"/>
          <w:szCs w:val="24"/>
        </w:rPr>
        <w:t xml:space="preserve">sta de la enseñanza-aprendizaje en las escuelas; tras esta correlación, se fortalecen los grupos sociales </w:t>
      </w:r>
      <w:r w:rsidR="003D00C0" w:rsidRPr="003E7A82">
        <w:rPr>
          <w:rFonts w:ascii="Times New Roman" w:hAnsi="Times New Roman" w:cs="Times New Roman"/>
          <w:sz w:val="24"/>
          <w:szCs w:val="24"/>
        </w:rPr>
        <w:t xml:space="preserve">que buscan </w:t>
      </w:r>
      <w:r w:rsidRPr="003E7A82">
        <w:rPr>
          <w:rFonts w:ascii="Times New Roman" w:hAnsi="Times New Roman" w:cs="Times New Roman"/>
          <w:sz w:val="24"/>
          <w:szCs w:val="24"/>
        </w:rPr>
        <w:t xml:space="preserve">conservar la identidad, </w:t>
      </w:r>
      <w:r w:rsidR="00CA0BDD" w:rsidRPr="003E7A82">
        <w:rPr>
          <w:rFonts w:ascii="Times New Roman" w:hAnsi="Times New Roman" w:cs="Times New Roman"/>
          <w:sz w:val="24"/>
          <w:szCs w:val="24"/>
        </w:rPr>
        <w:t xml:space="preserve">los </w:t>
      </w:r>
      <w:r w:rsidRPr="003E7A82">
        <w:rPr>
          <w:rFonts w:ascii="Times New Roman" w:hAnsi="Times New Roman" w:cs="Times New Roman"/>
          <w:sz w:val="24"/>
          <w:szCs w:val="24"/>
        </w:rPr>
        <w:t xml:space="preserve">valores, </w:t>
      </w:r>
      <w:r w:rsidR="00CA0BDD" w:rsidRPr="003E7A82">
        <w:rPr>
          <w:rFonts w:ascii="Times New Roman" w:hAnsi="Times New Roman" w:cs="Times New Roman"/>
          <w:sz w:val="24"/>
          <w:szCs w:val="24"/>
        </w:rPr>
        <w:t xml:space="preserve">las </w:t>
      </w:r>
      <w:r w:rsidRPr="003E7A82">
        <w:rPr>
          <w:rFonts w:ascii="Times New Roman" w:hAnsi="Times New Roman" w:cs="Times New Roman"/>
          <w:sz w:val="24"/>
          <w:szCs w:val="24"/>
        </w:rPr>
        <w:t xml:space="preserve">costumbres y </w:t>
      </w:r>
      <w:r w:rsidR="00CA0BDD" w:rsidRPr="003E7A82">
        <w:rPr>
          <w:rFonts w:ascii="Times New Roman" w:hAnsi="Times New Roman" w:cs="Times New Roman"/>
          <w:sz w:val="24"/>
          <w:szCs w:val="24"/>
        </w:rPr>
        <w:t xml:space="preserve">las </w:t>
      </w:r>
      <w:r w:rsidRPr="003E7A82">
        <w:rPr>
          <w:rFonts w:ascii="Times New Roman" w:hAnsi="Times New Roman" w:cs="Times New Roman"/>
          <w:sz w:val="24"/>
          <w:szCs w:val="24"/>
        </w:rPr>
        <w:t>tradiciones, de los que el entorno y la interacción de los individuos forman parte.</w:t>
      </w:r>
    </w:p>
    <w:p w14:paraId="39CE610A" w14:textId="3E4290DF" w:rsidR="00423BF0" w:rsidRDefault="003C77D3"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Asimismo</w:t>
      </w:r>
      <w:r w:rsidR="003D0C82" w:rsidRPr="003E7A82">
        <w:rPr>
          <w:rFonts w:ascii="Times New Roman" w:hAnsi="Times New Roman" w:cs="Times New Roman"/>
          <w:sz w:val="24"/>
          <w:szCs w:val="24"/>
        </w:rPr>
        <w:t xml:space="preserve">, </w:t>
      </w:r>
      <w:r w:rsidR="00CA0BDD" w:rsidRPr="003E7A82">
        <w:rPr>
          <w:rFonts w:ascii="Times New Roman" w:hAnsi="Times New Roman" w:cs="Times New Roman"/>
          <w:sz w:val="24"/>
          <w:szCs w:val="24"/>
        </w:rPr>
        <w:t xml:space="preserve">los </w:t>
      </w:r>
      <w:r w:rsidR="003D0C82" w:rsidRPr="003E7A82">
        <w:rPr>
          <w:rFonts w:ascii="Times New Roman" w:hAnsi="Times New Roman" w:cs="Times New Roman"/>
          <w:sz w:val="24"/>
          <w:szCs w:val="24"/>
        </w:rPr>
        <w:t>factores políticos y medioambientales tienen una relación directa con las universidades</w:t>
      </w:r>
      <w:r w:rsidR="00A27DA3" w:rsidRPr="003E7A82">
        <w:rPr>
          <w:rFonts w:ascii="Times New Roman" w:hAnsi="Times New Roman" w:cs="Times New Roman"/>
          <w:sz w:val="24"/>
          <w:szCs w:val="24"/>
        </w:rPr>
        <w:t xml:space="preserve"> que buscan</w:t>
      </w:r>
      <w:r w:rsidR="003D0C82" w:rsidRPr="003E7A82">
        <w:rPr>
          <w:rFonts w:ascii="Times New Roman" w:hAnsi="Times New Roman" w:cs="Times New Roman"/>
          <w:sz w:val="24"/>
          <w:szCs w:val="24"/>
        </w:rPr>
        <w:t xml:space="preserve"> apoyar la sostenibilidad de las comunidades, la calidad de vida y el entorno natural, en el que los recursos naturales son cada vez más valiosos ante un mundo cada vez más deteriorado y sobreexplotado a través de la investigación y las prácticas de implementación de propuestas que los beneficien. </w:t>
      </w:r>
      <w:r w:rsidR="00423BF0" w:rsidRPr="001D7715">
        <w:rPr>
          <w:rFonts w:ascii="Times New Roman" w:hAnsi="Times New Roman" w:cs="Times New Roman"/>
          <w:sz w:val="24"/>
          <w:szCs w:val="24"/>
        </w:rPr>
        <w:t>Lo anterior está alineado con un conjunto de políticas públicas orientadas a brindar apoyo directo a las comunidades involucradas, las cuales buscan alternativas para su desarrollo a través de ayudas gubernamentales y propuestas generadas desde las instituciones de educación superior.</w:t>
      </w:r>
    </w:p>
    <w:p w14:paraId="1AA3E081" w14:textId="77777777" w:rsidR="00E77F98" w:rsidRPr="003E7A82" w:rsidRDefault="00E77F98" w:rsidP="00E77F98">
      <w:pPr>
        <w:tabs>
          <w:tab w:val="left" w:pos="284"/>
        </w:tabs>
        <w:spacing w:before="40" w:after="40" w:line="360" w:lineRule="auto"/>
        <w:jc w:val="both"/>
        <w:rPr>
          <w:rFonts w:ascii="Times New Roman" w:hAnsi="Times New Roman" w:cs="Times New Roman"/>
          <w:sz w:val="24"/>
          <w:szCs w:val="24"/>
        </w:rPr>
      </w:pPr>
    </w:p>
    <w:p w14:paraId="08A7A81B" w14:textId="3D86378A" w:rsidR="0046575F" w:rsidRPr="003E7A82" w:rsidRDefault="00776907" w:rsidP="00E77F98">
      <w:pPr>
        <w:spacing w:before="40" w:after="40" w:line="360" w:lineRule="auto"/>
        <w:ind w:left="284"/>
        <w:jc w:val="center"/>
        <w:rPr>
          <w:rFonts w:ascii="Times New Roman" w:hAnsi="Times New Roman" w:cs="Times New Roman"/>
          <w:iCs/>
          <w:sz w:val="28"/>
          <w:szCs w:val="28"/>
        </w:rPr>
      </w:pPr>
      <w:bookmarkStart w:id="2" w:name="idp6636400"/>
      <w:bookmarkEnd w:id="2"/>
      <w:r w:rsidRPr="003E7A82">
        <w:rPr>
          <w:rFonts w:ascii="Times New Roman" w:hAnsi="Times New Roman" w:cs="Times New Roman"/>
          <w:b/>
          <w:iCs/>
          <w:sz w:val="28"/>
          <w:szCs w:val="28"/>
        </w:rPr>
        <w:t>L</w:t>
      </w:r>
      <w:r w:rsidR="00D50D69" w:rsidRPr="003E7A82">
        <w:rPr>
          <w:rFonts w:ascii="Times New Roman" w:hAnsi="Times New Roman" w:cs="Times New Roman"/>
          <w:b/>
          <w:iCs/>
          <w:sz w:val="28"/>
          <w:szCs w:val="28"/>
        </w:rPr>
        <w:t xml:space="preserve">as </w:t>
      </w:r>
      <w:r w:rsidR="0030114F" w:rsidRPr="003E7A82">
        <w:rPr>
          <w:rFonts w:ascii="Times New Roman" w:hAnsi="Times New Roman" w:cs="Times New Roman"/>
          <w:b/>
          <w:iCs/>
          <w:sz w:val="28"/>
          <w:szCs w:val="28"/>
        </w:rPr>
        <w:t>ventajas competitivas</w:t>
      </w:r>
    </w:p>
    <w:p w14:paraId="3E83122F" w14:textId="1ABC84D2" w:rsidR="00423BF0" w:rsidRPr="003E7A82" w:rsidRDefault="00590B30" w:rsidP="002C50B4">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U</w:t>
      </w:r>
      <w:r w:rsidR="005F1503" w:rsidRPr="003E7A82">
        <w:rPr>
          <w:rFonts w:ascii="Times New Roman" w:hAnsi="Times New Roman" w:cs="Times New Roman"/>
          <w:iCs/>
          <w:sz w:val="24"/>
          <w:szCs w:val="24"/>
        </w:rPr>
        <w:t xml:space="preserve">na empresa puede contar con </w:t>
      </w:r>
      <w:r w:rsidR="00D50D69" w:rsidRPr="003E7A82">
        <w:rPr>
          <w:rFonts w:ascii="Times New Roman" w:hAnsi="Times New Roman" w:cs="Times New Roman"/>
          <w:iCs/>
          <w:sz w:val="24"/>
          <w:szCs w:val="24"/>
        </w:rPr>
        <w:t xml:space="preserve">recursos </w:t>
      </w:r>
      <w:r w:rsidR="005F1503" w:rsidRPr="003E7A82">
        <w:rPr>
          <w:rFonts w:ascii="Times New Roman" w:hAnsi="Times New Roman" w:cs="Times New Roman"/>
          <w:iCs/>
          <w:sz w:val="24"/>
          <w:szCs w:val="24"/>
        </w:rPr>
        <w:t xml:space="preserve">naturales, </w:t>
      </w:r>
      <w:r w:rsidR="00D50D69" w:rsidRPr="003E7A82">
        <w:rPr>
          <w:rFonts w:ascii="Times New Roman" w:hAnsi="Times New Roman" w:cs="Times New Roman"/>
          <w:iCs/>
          <w:sz w:val="24"/>
          <w:szCs w:val="24"/>
        </w:rPr>
        <w:t xml:space="preserve">económicos, </w:t>
      </w:r>
      <w:r w:rsidR="00337FE5" w:rsidRPr="003E7A82">
        <w:rPr>
          <w:rFonts w:ascii="Times New Roman" w:hAnsi="Times New Roman" w:cs="Times New Roman"/>
          <w:iCs/>
          <w:sz w:val="24"/>
          <w:szCs w:val="24"/>
        </w:rPr>
        <w:t xml:space="preserve">técnicos y </w:t>
      </w:r>
      <w:r w:rsidR="00D50D69" w:rsidRPr="003E7A82">
        <w:rPr>
          <w:rFonts w:ascii="Times New Roman" w:hAnsi="Times New Roman" w:cs="Times New Roman"/>
          <w:iCs/>
          <w:sz w:val="24"/>
          <w:szCs w:val="24"/>
        </w:rPr>
        <w:t xml:space="preserve">humanos </w:t>
      </w:r>
      <w:r w:rsidR="00337FE5" w:rsidRPr="003E7A82">
        <w:rPr>
          <w:rFonts w:ascii="Times New Roman" w:hAnsi="Times New Roman" w:cs="Times New Roman"/>
          <w:iCs/>
          <w:sz w:val="24"/>
          <w:szCs w:val="24"/>
        </w:rPr>
        <w:t>pa</w:t>
      </w:r>
      <w:r w:rsidR="00D50D69" w:rsidRPr="003E7A82">
        <w:rPr>
          <w:rFonts w:ascii="Times New Roman" w:hAnsi="Times New Roman" w:cs="Times New Roman"/>
          <w:iCs/>
          <w:sz w:val="24"/>
          <w:szCs w:val="24"/>
        </w:rPr>
        <w:t>ra</w:t>
      </w:r>
      <w:r w:rsidR="00914E3F" w:rsidRPr="003E7A82">
        <w:rPr>
          <w:rFonts w:ascii="Times New Roman" w:hAnsi="Times New Roman" w:cs="Times New Roman"/>
          <w:iCs/>
          <w:sz w:val="24"/>
          <w:szCs w:val="24"/>
        </w:rPr>
        <w:t xml:space="preserve"> </w:t>
      </w:r>
      <w:r w:rsidR="00337FE5" w:rsidRPr="003E7A82">
        <w:rPr>
          <w:rFonts w:ascii="Times New Roman" w:hAnsi="Times New Roman" w:cs="Times New Roman"/>
          <w:iCs/>
          <w:sz w:val="24"/>
          <w:szCs w:val="24"/>
        </w:rPr>
        <w:t xml:space="preserve">considerar la posibilidad de </w:t>
      </w:r>
      <w:r w:rsidR="00D50D69" w:rsidRPr="003E7A82">
        <w:rPr>
          <w:rFonts w:ascii="Times New Roman" w:hAnsi="Times New Roman" w:cs="Times New Roman"/>
          <w:iCs/>
          <w:sz w:val="24"/>
          <w:szCs w:val="24"/>
        </w:rPr>
        <w:t>internacionalizar</w:t>
      </w:r>
      <w:r w:rsidR="00337FE5" w:rsidRPr="003E7A82">
        <w:rPr>
          <w:rFonts w:ascii="Times New Roman" w:hAnsi="Times New Roman" w:cs="Times New Roman"/>
          <w:iCs/>
          <w:sz w:val="24"/>
          <w:szCs w:val="24"/>
        </w:rPr>
        <w:t xml:space="preserve"> su provisión de productos o servicios</w:t>
      </w:r>
      <w:r w:rsidR="00EB5CCB" w:rsidRPr="003E7A82">
        <w:rPr>
          <w:rFonts w:ascii="Times New Roman" w:hAnsi="Times New Roman" w:cs="Times New Roman"/>
          <w:iCs/>
          <w:sz w:val="24"/>
          <w:szCs w:val="24"/>
        </w:rPr>
        <w:t xml:space="preserve"> en función de las mejoras que ofrezca en cuanto a costos, </w:t>
      </w:r>
      <w:r w:rsidR="007637A1" w:rsidRPr="003E7A82">
        <w:rPr>
          <w:rFonts w:ascii="Times New Roman" w:hAnsi="Times New Roman" w:cs="Times New Roman"/>
          <w:iCs/>
          <w:sz w:val="24"/>
          <w:szCs w:val="24"/>
        </w:rPr>
        <w:t xml:space="preserve">tiempo, características y </w:t>
      </w:r>
      <w:r w:rsidR="00D50D69" w:rsidRPr="003E7A82">
        <w:rPr>
          <w:rFonts w:ascii="Times New Roman" w:hAnsi="Times New Roman" w:cs="Times New Roman"/>
          <w:iCs/>
          <w:sz w:val="24"/>
          <w:szCs w:val="24"/>
        </w:rPr>
        <w:t>calidad</w:t>
      </w:r>
      <w:r w:rsidR="00CF4F4A" w:rsidRPr="003E7A82">
        <w:rPr>
          <w:rFonts w:ascii="Times New Roman" w:hAnsi="Times New Roman" w:cs="Times New Roman"/>
          <w:iCs/>
          <w:sz w:val="24"/>
          <w:szCs w:val="24"/>
        </w:rPr>
        <w:t xml:space="preserve"> en comparación de </w:t>
      </w:r>
      <w:r w:rsidR="004C6E85" w:rsidRPr="003E7A82">
        <w:rPr>
          <w:rFonts w:ascii="Times New Roman" w:hAnsi="Times New Roman" w:cs="Times New Roman"/>
          <w:iCs/>
          <w:sz w:val="24"/>
          <w:szCs w:val="24"/>
        </w:rPr>
        <w:t xml:space="preserve">sus </w:t>
      </w:r>
      <w:r w:rsidR="002D50AA" w:rsidRPr="003E7A82">
        <w:rPr>
          <w:rFonts w:ascii="Times New Roman" w:hAnsi="Times New Roman" w:cs="Times New Roman"/>
          <w:iCs/>
          <w:sz w:val="24"/>
          <w:szCs w:val="24"/>
        </w:rPr>
        <w:t>equivalent</w:t>
      </w:r>
      <w:r w:rsidR="004C6E85" w:rsidRPr="003E7A82">
        <w:rPr>
          <w:rFonts w:ascii="Times New Roman" w:hAnsi="Times New Roman" w:cs="Times New Roman"/>
          <w:iCs/>
          <w:sz w:val="24"/>
          <w:szCs w:val="24"/>
        </w:rPr>
        <w:t>es si los hay en otros pa</w:t>
      </w:r>
      <w:r w:rsidR="007A7FDC" w:rsidRPr="003E7A82">
        <w:rPr>
          <w:rFonts w:ascii="Times New Roman" w:hAnsi="Times New Roman" w:cs="Times New Roman"/>
          <w:iCs/>
          <w:sz w:val="24"/>
          <w:szCs w:val="24"/>
        </w:rPr>
        <w:t>í</w:t>
      </w:r>
      <w:r w:rsidR="004C6E85" w:rsidRPr="003E7A82">
        <w:rPr>
          <w:rFonts w:ascii="Times New Roman" w:hAnsi="Times New Roman" w:cs="Times New Roman"/>
          <w:iCs/>
          <w:sz w:val="24"/>
          <w:szCs w:val="24"/>
        </w:rPr>
        <w:t>ses</w:t>
      </w:r>
      <w:r w:rsidR="00D50D69" w:rsidRPr="003E7A82">
        <w:rPr>
          <w:rFonts w:ascii="Times New Roman" w:hAnsi="Times New Roman" w:cs="Times New Roman"/>
          <w:iCs/>
          <w:sz w:val="24"/>
          <w:szCs w:val="24"/>
        </w:rPr>
        <w:t xml:space="preserve">. </w:t>
      </w:r>
      <w:r w:rsidR="00423BF0" w:rsidRPr="002B6D92">
        <w:rPr>
          <w:rFonts w:ascii="Times New Roman" w:hAnsi="Times New Roman" w:cs="Times New Roman"/>
          <w:iCs/>
          <w:sz w:val="24"/>
          <w:szCs w:val="24"/>
        </w:rPr>
        <w:t>Por ejemplo, la industria automotriz en México es un pilar fundamental, tanto que el país se posiciona como una de las principales economías manufactureras a nivel global y, actualmente, como la segunda economía más grande de América Latina. El sector industrial mexicano representa más del 17% de su producto interno bruto (PIB), y su capacidad para proveer materias primas e insumos industriales a diversos mercados internacionales es clave para su competitividad. Estos mercados abarcan desde la producción de alimentos y bebidas hasta bienes que requieren tecnología avanzada y procesos de producción bajo marcos de gestión deseable, como es el caso de la industria automotriz.</w:t>
      </w:r>
    </w:p>
    <w:p w14:paraId="34D9640E" w14:textId="62513F7E" w:rsidR="008D295C" w:rsidRPr="003E7A82" w:rsidRDefault="00423BF0" w:rsidP="00E77F98">
      <w:pPr>
        <w:spacing w:before="40" w:after="40" w:line="360" w:lineRule="auto"/>
        <w:jc w:val="both"/>
        <w:rPr>
          <w:rFonts w:ascii="Times New Roman" w:hAnsi="Times New Roman" w:cs="Times New Roman"/>
          <w:iCs/>
          <w:sz w:val="24"/>
          <w:szCs w:val="24"/>
        </w:rPr>
      </w:pPr>
      <w:r w:rsidRPr="002B6D92">
        <w:rPr>
          <w:rFonts w:ascii="Times New Roman" w:hAnsi="Times New Roman" w:cs="Times New Roman"/>
          <w:iCs/>
          <w:sz w:val="24"/>
          <w:szCs w:val="24"/>
        </w:rPr>
        <w:t>Esta industria</w:t>
      </w:r>
      <w:r w:rsidRPr="003E7A82">
        <w:rPr>
          <w:rFonts w:ascii="Times New Roman" w:hAnsi="Times New Roman" w:cs="Times New Roman"/>
          <w:iCs/>
          <w:sz w:val="24"/>
          <w:szCs w:val="24"/>
        </w:rPr>
        <w:t xml:space="preserve"> </w:t>
      </w:r>
      <w:r w:rsidR="00DB0FBA" w:rsidRPr="003E7A82">
        <w:rPr>
          <w:rFonts w:ascii="Times New Roman" w:hAnsi="Times New Roman" w:cs="Times New Roman"/>
          <w:iCs/>
          <w:sz w:val="24"/>
          <w:szCs w:val="24"/>
        </w:rPr>
        <w:t>se ha convertido en un pilar</w:t>
      </w:r>
      <w:r w:rsidR="00B57D56" w:rsidRPr="003E7A82">
        <w:rPr>
          <w:rFonts w:ascii="Times New Roman" w:hAnsi="Times New Roman" w:cs="Times New Roman"/>
          <w:iCs/>
          <w:sz w:val="24"/>
          <w:szCs w:val="24"/>
        </w:rPr>
        <w:t xml:space="preserve"> del sector manufacturero mexicano</w:t>
      </w:r>
      <w:r w:rsidR="00CD11A5" w:rsidRPr="003E7A82">
        <w:rPr>
          <w:rFonts w:ascii="Times New Roman" w:hAnsi="Times New Roman" w:cs="Times New Roman"/>
          <w:iCs/>
          <w:sz w:val="24"/>
          <w:szCs w:val="24"/>
        </w:rPr>
        <w:t xml:space="preserve">, siendo </w:t>
      </w:r>
      <w:r w:rsidR="00B57D56" w:rsidRPr="003E7A82">
        <w:rPr>
          <w:rFonts w:ascii="Times New Roman" w:hAnsi="Times New Roman" w:cs="Times New Roman"/>
          <w:iCs/>
          <w:sz w:val="24"/>
          <w:szCs w:val="24"/>
        </w:rPr>
        <w:t xml:space="preserve">el país latinoamericano que produce la mayor cantidad de vehículos </w:t>
      </w:r>
      <w:r w:rsidR="003F3BDA" w:rsidRPr="003E7A82">
        <w:rPr>
          <w:rFonts w:ascii="Times New Roman" w:hAnsi="Times New Roman" w:cs="Times New Roman"/>
          <w:iCs/>
          <w:sz w:val="24"/>
          <w:szCs w:val="24"/>
        </w:rPr>
        <w:t>con</w:t>
      </w:r>
      <w:r w:rsidR="00B57D56" w:rsidRPr="003E7A82">
        <w:rPr>
          <w:rFonts w:ascii="Times New Roman" w:hAnsi="Times New Roman" w:cs="Times New Roman"/>
          <w:iCs/>
          <w:sz w:val="24"/>
          <w:szCs w:val="24"/>
        </w:rPr>
        <w:t xml:space="preserve"> motor y </w:t>
      </w:r>
      <w:r w:rsidR="003F3BDA" w:rsidRPr="003E7A82">
        <w:rPr>
          <w:rFonts w:ascii="Times New Roman" w:hAnsi="Times New Roman" w:cs="Times New Roman"/>
          <w:iCs/>
          <w:sz w:val="24"/>
          <w:szCs w:val="24"/>
        </w:rPr>
        <w:t>el s</w:t>
      </w:r>
      <w:r w:rsidR="00B57D56" w:rsidRPr="003E7A82">
        <w:rPr>
          <w:rFonts w:ascii="Times New Roman" w:hAnsi="Times New Roman" w:cs="Times New Roman"/>
          <w:iCs/>
          <w:sz w:val="24"/>
          <w:szCs w:val="24"/>
        </w:rPr>
        <w:t>éptim</w:t>
      </w:r>
      <w:r w:rsidR="003F3BDA" w:rsidRPr="003E7A82">
        <w:rPr>
          <w:rFonts w:ascii="Times New Roman" w:hAnsi="Times New Roman" w:cs="Times New Roman"/>
          <w:iCs/>
          <w:sz w:val="24"/>
          <w:szCs w:val="24"/>
        </w:rPr>
        <w:t>o</w:t>
      </w:r>
      <w:r w:rsidR="00B57D56" w:rsidRPr="003E7A82">
        <w:rPr>
          <w:rFonts w:ascii="Times New Roman" w:hAnsi="Times New Roman" w:cs="Times New Roman"/>
          <w:iCs/>
          <w:sz w:val="24"/>
          <w:szCs w:val="24"/>
        </w:rPr>
        <w:t xml:space="preserve"> entre los mayores productores</w:t>
      </w:r>
      <w:r w:rsidR="00640272" w:rsidRPr="003E7A82">
        <w:rPr>
          <w:rFonts w:ascii="Times New Roman" w:hAnsi="Times New Roman" w:cs="Times New Roman"/>
          <w:iCs/>
          <w:sz w:val="24"/>
          <w:szCs w:val="24"/>
        </w:rPr>
        <w:t xml:space="preserve"> de</w:t>
      </w:r>
      <w:r w:rsidR="00B57D56" w:rsidRPr="003E7A82">
        <w:rPr>
          <w:rFonts w:ascii="Times New Roman" w:hAnsi="Times New Roman" w:cs="Times New Roman"/>
          <w:iCs/>
          <w:sz w:val="24"/>
          <w:szCs w:val="24"/>
        </w:rPr>
        <w:t xml:space="preserve"> aut</w:t>
      </w:r>
      <w:r w:rsidR="00640272" w:rsidRPr="003E7A82">
        <w:rPr>
          <w:rFonts w:ascii="Times New Roman" w:hAnsi="Times New Roman" w:cs="Times New Roman"/>
          <w:iCs/>
          <w:sz w:val="24"/>
          <w:szCs w:val="24"/>
        </w:rPr>
        <w:t>o</w:t>
      </w:r>
      <w:r w:rsidR="00B57D56" w:rsidRPr="003E7A82">
        <w:rPr>
          <w:rFonts w:ascii="Times New Roman" w:hAnsi="Times New Roman" w:cs="Times New Roman"/>
          <w:iCs/>
          <w:sz w:val="24"/>
          <w:szCs w:val="24"/>
        </w:rPr>
        <w:t>m</w:t>
      </w:r>
      <w:r w:rsidR="00640272" w:rsidRPr="003E7A82">
        <w:rPr>
          <w:rFonts w:ascii="Times New Roman" w:hAnsi="Times New Roman" w:cs="Times New Roman"/>
          <w:iCs/>
          <w:sz w:val="24"/>
          <w:szCs w:val="24"/>
        </w:rPr>
        <w:t>ó</w:t>
      </w:r>
      <w:r w:rsidR="00B57D56" w:rsidRPr="003E7A82">
        <w:rPr>
          <w:rFonts w:ascii="Times New Roman" w:hAnsi="Times New Roman" w:cs="Times New Roman"/>
          <w:iCs/>
          <w:sz w:val="24"/>
          <w:szCs w:val="24"/>
        </w:rPr>
        <w:t>vil</w:t>
      </w:r>
      <w:r w:rsidR="00640272" w:rsidRPr="003E7A82">
        <w:rPr>
          <w:rFonts w:ascii="Times New Roman" w:hAnsi="Times New Roman" w:cs="Times New Roman"/>
          <w:iCs/>
          <w:sz w:val="24"/>
          <w:szCs w:val="24"/>
        </w:rPr>
        <w:t>es</w:t>
      </w:r>
      <w:r w:rsidR="00B57D56" w:rsidRPr="003E7A82">
        <w:rPr>
          <w:rFonts w:ascii="Times New Roman" w:hAnsi="Times New Roman" w:cs="Times New Roman"/>
          <w:iCs/>
          <w:sz w:val="24"/>
          <w:szCs w:val="24"/>
        </w:rPr>
        <w:t xml:space="preserve"> a nivel mundial.</w:t>
      </w:r>
      <w:r w:rsidR="00640272" w:rsidRPr="003E7A82">
        <w:rPr>
          <w:rFonts w:ascii="Times New Roman" w:hAnsi="Times New Roman" w:cs="Times New Roman"/>
          <w:iCs/>
          <w:sz w:val="24"/>
          <w:szCs w:val="24"/>
        </w:rPr>
        <w:t xml:space="preserve"> Así e</w:t>
      </w:r>
      <w:r w:rsidR="00D50D69" w:rsidRPr="003E7A82">
        <w:rPr>
          <w:rFonts w:ascii="Times New Roman" w:hAnsi="Times New Roman" w:cs="Times New Roman"/>
          <w:iCs/>
          <w:sz w:val="24"/>
          <w:szCs w:val="24"/>
        </w:rPr>
        <w:t xml:space="preserve">l modelo de gestión, la calidad de </w:t>
      </w:r>
      <w:r w:rsidR="00D50D69" w:rsidRPr="003E7A82">
        <w:rPr>
          <w:rFonts w:ascii="Times New Roman" w:hAnsi="Times New Roman" w:cs="Times New Roman"/>
          <w:iCs/>
          <w:sz w:val="24"/>
          <w:szCs w:val="24"/>
        </w:rPr>
        <w:lastRenderedPageBreak/>
        <w:t>los</w:t>
      </w:r>
      <w:r w:rsidR="00914E3F" w:rsidRPr="003E7A82">
        <w:rPr>
          <w:rFonts w:ascii="Times New Roman" w:hAnsi="Times New Roman" w:cs="Times New Roman"/>
          <w:iCs/>
          <w:sz w:val="24"/>
          <w:szCs w:val="24"/>
        </w:rPr>
        <w:t xml:space="preserve"> </w:t>
      </w:r>
      <w:r w:rsidR="00D50D69" w:rsidRPr="003E7A82">
        <w:rPr>
          <w:rFonts w:ascii="Times New Roman" w:hAnsi="Times New Roman" w:cs="Times New Roman"/>
          <w:iCs/>
          <w:sz w:val="24"/>
          <w:szCs w:val="24"/>
        </w:rPr>
        <w:t xml:space="preserve">productos, el </w:t>
      </w:r>
      <w:r w:rsidR="00D612BF" w:rsidRPr="003E7A82">
        <w:rPr>
          <w:rFonts w:ascii="Times New Roman" w:hAnsi="Times New Roman" w:cs="Times New Roman"/>
          <w:iCs/>
          <w:sz w:val="24"/>
          <w:szCs w:val="24"/>
        </w:rPr>
        <w:t xml:space="preserve">costo y </w:t>
      </w:r>
      <w:r w:rsidR="002D50AA" w:rsidRPr="003E7A82">
        <w:rPr>
          <w:rFonts w:ascii="Times New Roman" w:hAnsi="Times New Roman" w:cs="Times New Roman"/>
          <w:iCs/>
          <w:sz w:val="24"/>
          <w:szCs w:val="24"/>
        </w:rPr>
        <w:t xml:space="preserve">la </w:t>
      </w:r>
      <w:r w:rsidR="00D612BF" w:rsidRPr="003E7A82">
        <w:rPr>
          <w:rFonts w:ascii="Times New Roman" w:hAnsi="Times New Roman" w:cs="Times New Roman"/>
          <w:iCs/>
          <w:sz w:val="24"/>
          <w:szCs w:val="24"/>
        </w:rPr>
        <w:t>disponibilidad de la mano de obra</w:t>
      </w:r>
      <w:r w:rsidR="00D50D69" w:rsidRPr="003E7A82">
        <w:rPr>
          <w:rFonts w:ascii="Times New Roman" w:hAnsi="Times New Roman" w:cs="Times New Roman"/>
          <w:iCs/>
          <w:sz w:val="24"/>
          <w:szCs w:val="24"/>
        </w:rPr>
        <w:t xml:space="preserve"> y </w:t>
      </w:r>
      <w:r w:rsidR="00D612BF" w:rsidRPr="003E7A82">
        <w:rPr>
          <w:rFonts w:ascii="Times New Roman" w:hAnsi="Times New Roman" w:cs="Times New Roman"/>
          <w:iCs/>
          <w:sz w:val="24"/>
          <w:szCs w:val="24"/>
        </w:rPr>
        <w:t>d</w:t>
      </w:r>
      <w:r w:rsidR="00D50D69" w:rsidRPr="003E7A82">
        <w:rPr>
          <w:rFonts w:ascii="Times New Roman" w:hAnsi="Times New Roman" w:cs="Times New Roman"/>
          <w:iCs/>
          <w:sz w:val="24"/>
          <w:szCs w:val="24"/>
        </w:rPr>
        <w:t>e los recursos naturales,</w:t>
      </w:r>
      <w:r w:rsidR="00F101D4" w:rsidRPr="003E7A82">
        <w:rPr>
          <w:rFonts w:ascii="Times New Roman" w:hAnsi="Times New Roman" w:cs="Times New Roman"/>
          <w:iCs/>
          <w:sz w:val="24"/>
          <w:szCs w:val="24"/>
        </w:rPr>
        <w:t xml:space="preserve"> y su ubicación</w:t>
      </w:r>
      <w:r w:rsidR="00D50D69" w:rsidRPr="003E7A82">
        <w:rPr>
          <w:rFonts w:ascii="Times New Roman" w:hAnsi="Times New Roman" w:cs="Times New Roman"/>
          <w:iCs/>
          <w:sz w:val="24"/>
          <w:szCs w:val="24"/>
        </w:rPr>
        <w:t xml:space="preserve"> son</w:t>
      </w:r>
      <w:r w:rsidR="00914E3F" w:rsidRPr="003E7A82">
        <w:rPr>
          <w:rFonts w:ascii="Times New Roman" w:hAnsi="Times New Roman" w:cs="Times New Roman"/>
          <w:iCs/>
          <w:sz w:val="24"/>
          <w:szCs w:val="24"/>
        </w:rPr>
        <w:t xml:space="preserve"> </w:t>
      </w:r>
      <w:r w:rsidR="00D50D69" w:rsidRPr="003E7A82">
        <w:rPr>
          <w:rFonts w:ascii="Times New Roman" w:hAnsi="Times New Roman" w:cs="Times New Roman"/>
          <w:iCs/>
          <w:sz w:val="24"/>
          <w:szCs w:val="24"/>
        </w:rPr>
        <w:t xml:space="preserve">factores que </w:t>
      </w:r>
      <w:r w:rsidR="00557E34" w:rsidRPr="003E7A82">
        <w:rPr>
          <w:rFonts w:ascii="Times New Roman" w:hAnsi="Times New Roman" w:cs="Times New Roman"/>
          <w:iCs/>
          <w:sz w:val="24"/>
          <w:szCs w:val="24"/>
        </w:rPr>
        <w:t xml:space="preserve">generan la posibilidad </w:t>
      </w:r>
      <w:r w:rsidRPr="002B6D92">
        <w:rPr>
          <w:rFonts w:ascii="Times New Roman" w:hAnsi="Times New Roman" w:cs="Times New Roman"/>
          <w:iCs/>
          <w:sz w:val="24"/>
          <w:szCs w:val="24"/>
        </w:rPr>
        <w:t>de</w:t>
      </w:r>
      <w:r w:rsidRPr="003E7A82">
        <w:rPr>
          <w:rFonts w:ascii="Times New Roman" w:hAnsi="Times New Roman" w:cs="Times New Roman"/>
          <w:iCs/>
          <w:sz w:val="24"/>
          <w:szCs w:val="24"/>
        </w:rPr>
        <w:t xml:space="preserve"> </w:t>
      </w:r>
      <w:r w:rsidR="008A7FD7" w:rsidRPr="003E7A82">
        <w:rPr>
          <w:rFonts w:ascii="Times New Roman" w:hAnsi="Times New Roman" w:cs="Times New Roman"/>
          <w:iCs/>
          <w:sz w:val="24"/>
          <w:szCs w:val="24"/>
        </w:rPr>
        <w:t>identificar alternativas</w:t>
      </w:r>
      <w:r w:rsidR="00D50D69" w:rsidRPr="003E7A82">
        <w:rPr>
          <w:rFonts w:ascii="Times New Roman" w:hAnsi="Times New Roman" w:cs="Times New Roman"/>
          <w:iCs/>
          <w:sz w:val="24"/>
          <w:szCs w:val="24"/>
        </w:rPr>
        <w:t xml:space="preserve"> socio</w:t>
      </w:r>
      <w:r w:rsidR="00914E3F" w:rsidRPr="003E7A82">
        <w:rPr>
          <w:rFonts w:ascii="Times New Roman" w:hAnsi="Times New Roman" w:cs="Times New Roman"/>
          <w:iCs/>
          <w:sz w:val="24"/>
          <w:szCs w:val="24"/>
        </w:rPr>
        <w:t xml:space="preserve"> </w:t>
      </w:r>
      <w:r w:rsidR="00D50D69" w:rsidRPr="003E7A82">
        <w:rPr>
          <w:rFonts w:ascii="Times New Roman" w:hAnsi="Times New Roman" w:cs="Times New Roman"/>
          <w:iCs/>
          <w:sz w:val="24"/>
          <w:szCs w:val="24"/>
        </w:rPr>
        <w:t xml:space="preserve">geográficas </w:t>
      </w:r>
      <w:r w:rsidR="008B49C1" w:rsidRPr="003E7A82">
        <w:rPr>
          <w:rFonts w:ascii="Times New Roman" w:hAnsi="Times New Roman" w:cs="Times New Roman"/>
          <w:iCs/>
          <w:sz w:val="24"/>
          <w:szCs w:val="24"/>
        </w:rPr>
        <w:t xml:space="preserve">para promover que las empresas extranjeras </w:t>
      </w:r>
      <w:r w:rsidR="00D50D69" w:rsidRPr="003E7A82">
        <w:rPr>
          <w:rFonts w:ascii="Times New Roman" w:hAnsi="Times New Roman" w:cs="Times New Roman"/>
          <w:iCs/>
          <w:sz w:val="24"/>
          <w:szCs w:val="24"/>
        </w:rPr>
        <w:t>desarroll</w:t>
      </w:r>
      <w:r w:rsidR="00BE3DE1" w:rsidRPr="003E7A82">
        <w:rPr>
          <w:rFonts w:ascii="Times New Roman" w:hAnsi="Times New Roman" w:cs="Times New Roman"/>
          <w:iCs/>
          <w:sz w:val="24"/>
          <w:szCs w:val="24"/>
        </w:rPr>
        <w:t>en</w:t>
      </w:r>
      <w:r w:rsidR="00D50D69" w:rsidRPr="003E7A82">
        <w:rPr>
          <w:rFonts w:ascii="Times New Roman" w:hAnsi="Times New Roman" w:cs="Times New Roman"/>
          <w:iCs/>
          <w:sz w:val="24"/>
          <w:szCs w:val="24"/>
        </w:rPr>
        <w:t xml:space="preserve"> sus procesos productivos</w:t>
      </w:r>
      <w:r w:rsidR="00BE3DE1" w:rsidRPr="003E7A82">
        <w:rPr>
          <w:rFonts w:ascii="Times New Roman" w:hAnsi="Times New Roman" w:cs="Times New Roman"/>
          <w:iCs/>
          <w:sz w:val="24"/>
          <w:szCs w:val="24"/>
        </w:rPr>
        <w:t xml:space="preserve"> en México</w:t>
      </w:r>
      <w:r w:rsidR="003E38F5" w:rsidRPr="003E7A82">
        <w:rPr>
          <w:rFonts w:ascii="Times New Roman" w:hAnsi="Times New Roman" w:cs="Times New Roman"/>
          <w:iCs/>
          <w:sz w:val="24"/>
          <w:szCs w:val="24"/>
        </w:rPr>
        <w:t xml:space="preserve"> </w:t>
      </w:r>
      <w:r w:rsidR="002D50AA" w:rsidRPr="003E7A82">
        <w:rPr>
          <w:rFonts w:ascii="Times New Roman" w:hAnsi="Times New Roman" w:cs="Times New Roman"/>
          <w:iCs/>
          <w:sz w:val="24"/>
          <w:szCs w:val="24"/>
        </w:rPr>
        <w:t>como en el caso de Tesla</w:t>
      </w:r>
      <w:r w:rsidR="00130833" w:rsidRPr="003E7A82">
        <w:rPr>
          <w:rFonts w:ascii="Times New Roman" w:hAnsi="Times New Roman" w:cs="Times New Roman"/>
          <w:iCs/>
          <w:sz w:val="24"/>
          <w:szCs w:val="24"/>
        </w:rPr>
        <w:t xml:space="preserve">, </w:t>
      </w:r>
      <w:r w:rsidR="008D295C" w:rsidRPr="003E7A82">
        <w:rPr>
          <w:rFonts w:ascii="Times New Roman" w:hAnsi="Times New Roman" w:cs="Times New Roman"/>
          <w:iCs/>
          <w:sz w:val="24"/>
          <w:szCs w:val="24"/>
        </w:rPr>
        <w:t>Barría</w:t>
      </w:r>
      <w:r w:rsidR="00841612" w:rsidRPr="003E7A82">
        <w:rPr>
          <w:rFonts w:ascii="Times New Roman" w:hAnsi="Times New Roman" w:cs="Times New Roman"/>
          <w:iCs/>
          <w:sz w:val="24"/>
          <w:szCs w:val="24"/>
        </w:rPr>
        <w:t xml:space="preserve"> </w:t>
      </w:r>
      <w:r w:rsidR="00841612" w:rsidRPr="002B6D92">
        <w:rPr>
          <w:rFonts w:ascii="Times New Roman" w:hAnsi="Times New Roman" w:cs="Times New Roman"/>
          <w:iCs/>
          <w:sz w:val="24"/>
          <w:szCs w:val="24"/>
        </w:rPr>
        <w:t>(</w:t>
      </w:r>
      <w:r w:rsidR="008D295C" w:rsidRPr="002B6D92">
        <w:rPr>
          <w:rFonts w:ascii="Times New Roman" w:hAnsi="Times New Roman" w:cs="Times New Roman"/>
          <w:iCs/>
          <w:sz w:val="24"/>
          <w:szCs w:val="24"/>
        </w:rPr>
        <w:t xml:space="preserve">2023) </w:t>
      </w:r>
      <w:r w:rsidR="002B6D92">
        <w:rPr>
          <w:rFonts w:ascii="Times New Roman" w:hAnsi="Times New Roman" w:cs="Times New Roman"/>
          <w:iCs/>
          <w:sz w:val="24"/>
          <w:szCs w:val="24"/>
        </w:rPr>
        <w:t>s</w:t>
      </w:r>
      <w:r w:rsidR="004D0C22" w:rsidRPr="003E7A82">
        <w:rPr>
          <w:rFonts w:ascii="Times New Roman" w:hAnsi="Times New Roman" w:cs="Times New Roman"/>
          <w:iCs/>
          <w:sz w:val="24"/>
          <w:szCs w:val="24"/>
        </w:rPr>
        <w:t xml:space="preserve">eñala </w:t>
      </w:r>
      <w:r w:rsidR="008D295C" w:rsidRPr="003E7A82">
        <w:rPr>
          <w:rFonts w:ascii="Times New Roman" w:hAnsi="Times New Roman" w:cs="Times New Roman"/>
          <w:iCs/>
          <w:sz w:val="24"/>
          <w:szCs w:val="24"/>
        </w:rPr>
        <w:t xml:space="preserve">que entre otros argumentos para su inversión en México están: la cercanía geográfica con </w:t>
      </w:r>
      <w:r w:rsidR="00094E5B" w:rsidRPr="003E7A82">
        <w:rPr>
          <w:rFonts w:ascii="Times New Roman" w:hAnsi="Times New Roman" w:cs="Times New Roman"/>
          <w:iCs/>
          <w:sz w:val="24"/>
          <w:szCs w:val="24"/>
        </w:rPr>
        <w:t xml:space="preserve">Estados Unidos, </w:t>
      </w:r>
      <w:r w:rsidR="008D295C" w:rsidRPr="003E7A82">
        <w:rPr>
          <w:rFonts w:ascii="Times New Roman" w:hAnsi="Times New Roman" w:cs="Times New Roman"/>
          <w:iCs/>
          <w:sz w:val="24"/>
          <w:szCs w:val="24"/>
        </w:rPr>
        <w:t>el segundo mayor mercado automotriz del mundo después de China</w:t>
      </w:r>
      <w:r w:rsidR="00F16E8F" w:rsidRPr="003E7A82">
        <w:rPr>
          <w:rFonts w:ascii="Times New Roman" w:hAnsi="Times New Roman" w:cs="Times New Roman"/>
          <w:iCs/>
          <w:sz w:val="24"/>
          <w:szCs w:val="24"/>
        </w:rPr>
        <w:t>,;</w:t>
      </w:r>
      <w:r w:rsidR="00162C4E" w:rsidRPr="003E7A82">
        <w:rPr>
          <w:rFonts w:ascii="Times New Roman" w:hAnsi="Times New Roman" w:cs="Times New Roman"/>
          <w:iCs/>
          <w:sz w:val="24"/>
          <w:szCs w:val="24"/>
        </w:rPr>
        <w:t xml:space="preserve"> </w:t>
      </w:r>
      <w:r w:rsidR="008D295C" w:rsidRPr="003E7A82">
        <w:rPr>
          <w:rFonts w:ascii="Times New Roman" w:hAnsi="Times New Roman" w:cs="Times New Roman"/>
          <w:iCs/>
          <w:sz w:val="24"/>
          <w:szCs w:val="24"/>
        </w:rPr>
        <w:t xml:space="preserve">grandes firmas </w:t>
      </w:r>
      <w:r w:rsidR="00F16E8F" w:rsidRPr="003E7A82">
        <w:rPr>
          <w:rFonts w:ascii="Times New Roman" w:hAnsi="Times New Roman" w:cs="Times New Roman"/>
          <w:iCs/>
          <w:sz w:val="24"/>
          <w:szCs w:val="24"/>
        </w:rPr>
        <w:t>como Ford, Volkswagen y C</w:t>
      </w:r>
      <w:r w:rsidR="00162C4E" w:rsidRPr="003E7A82">
        <w:rPr>
          <w:rFonts w:ascii="Times New Roman" w:hAnsi="Times New Roman" w:cs="Times New Roman"/>
          <w:iCs/>
          <w:sz w:val="24"/>
          <w:szCs w:val="24"/>
        </w:rPr>
        <w:t>hrysler</w:t>
      </w:r>
      <w:r w:rsidR="00F16E8F" w:rsidRPr="003E7A82">
        <w:rPr>
          <w:rFonts w:ascii="Times New Roman" w:hAnsi="Times New Roman" w:cs="Times New Roman"/>
          <w:iCs/>
          <w:sz w:val="24"/>
          <w:szCs w:val="24"/>
        </w:rPr>
        <w:t xml:space="preserve"> </w:t>
      </w:r>
      <w:r w:rsidR="008D295C" w:rsidRPr="003E7A82">
        <w:rPr>
          <w:rFonts w:ascii="Times New Roman" w:hAnsi="Times New Roman" w:cs="Times New Roman"/>
          <w:iCs/>
          <w:sz w:val="24"/>
          <w:szCs w:val="24"/>
        </w:rPr>
        <w:t xml:space="preserve">ensamblan vehículos en </w:t>
      </w:r>
      <w:r w:rsidR="00566878" w:rsidRPr="003E7A82">
        <w:rPr>
          <w:rFonts w:ascii="Times New Roman" w:hAnsi="Times New Roman" w:cs="Times New Roman"/>
          <w:iCs/>
          <w:sz w:val="24"/>
          <w:szCs w:val="24"/>
        </w:rPr>
        <w:t xml:space="preserve">México y venden una gran proporción </w:t>
      </w:r>
      <w:r w:rsidR="008D295C" w:rsidRPr="003E7A82">
        <w:rPr>
          <w:rFonts w:ascii="Times New Roman" w:hAnsi="Times New Roman" w:cs="Times New Roman"/>
          <w:iCs/>
          <w:sz w:val="24"/>
          <w:szCs w:val="24"/>
        </w:rPr>
        <w:t xml:space="preserve">de ellos </w:t>
      </w:r>
      <w:r w:rsidR="00566878" w:rsidRPr="003E7A82">
        <w:rPr>
          <w:rFonts w:ascii="Times New Roman" w:hAnsi="Times New Roman" w:cs="Times New Roman"/>
          <w:iCs/>
          <w:sz w:val="24"/>
          <w:szCs w:val="24"/>
        </w:rPr>
        <w:t xml:space="preserve">en los Estados </w:t>
      </w:r>
      <w:r w:rsidR="0097129A" w:rsidRPr="003E7A82">
        <w:rPr>
          <w:rFonts w:ascii="Times New Roman" w:hAnsi="Times New Roman" w:cs="Times New Roman"/>
          <w:iCs/>
          <w:sz w:val="24"/>
          <w:szCs w:val="24"/>
        </w:rPr>
        <w:t>U</w:t>
      </w:r>
      <w:r w:rsidR="00566878" w:rsidRPr="003E7A82">
        <w:rPr>
          <w:rFonts w:ascii="Times New Roman" w:hAnsi="Times New Roman" w:cs="Times New Roman"/>
          <w:iCs/>
          <w:sz w:val="24"/>
          <w:szCs w:val="24"/>
        </w:rPr>
        <w:t>ni</w:t>
      </w:r>
      <w:r w:rsidR="0097129A" w:rsidRPr="003E7A82">
        <w:rPr>
          <w:rFonts w:ascii="Times New Roman" w:hAnsi="Times New Roman" w:cs="Times New Roman"/>
          <w:iCs/>
          <w:sz w:val="24"/>
          <w:szCs w:val="24"/>
        </w:rPr>
        <w:t>d</w:t>
      </w:r>
      <w:r w:rsidR="00566878" w:rsidRPr="003E7A82">
        <w:rPr>
          <w:rFonts w:ascii="Times New Roman" w:hAnsi="Times New Roman" w:cs="Times New Roman"/>
          <w:iCs/>
          <w:sz w:val="24"/>
          <w:szCs w:val="24"/>
        </w:rPr>
        <w:t>os</w:t>
      </w:r>
      <w:r w:rsidR="00AF1286" w:rsidRPr="003E7A82">
        <w:rPr>
          <w:rFonts w:ascii="Times New Roman" w:hAnsi="Times New Roman" w:cs="Times New Roman"/>
          <w:iCs/>
          <w:sz w:val="24"/>
          <w:szCs w:val="24"/>
        </w:rPr>
        <w:t>. De esta manera los vehículos</w:t>
      </w:r>
      <w:r w:rsidR="008D295C" w:rsidRPr="003E7A82">
        <w:rPr>
          <w:rFonts w:ascii="Times New Roman" w:hAnsi="Times New Roman" w:cs="Times New Roman"/>
          <w:iCs/>
          <w:sz w:val="24"/>
          <w:szCs w:val="24"/>
        </w:rPr>
        <w:t xml:space="preserve"> </w:t>
      </w:r>
      <w:r w:rsidR="008F2E9B" w:rsidRPr="003E7A82">
        <w:rPr>
          <w:rFonts w:ascii="Times New Roman" w:hAnsi="Times New Roman" w:cs="Times New Roman"/>
          <w:iCs/>
          <w:sz w:val="24"/>
          <w:szCs w:val="24"/>
        </w:rPr>
        <w:t>‘</w:t>
      </w:r>
      <w:proofErr w:type="spellStart"/>
      <w:r w:rsidR="00AF1286" w:rsidRPr="003E7A82">
        <w:rPr>
          <w:rFonts w:ascii="Times New Roman" w:hAnsi="Times New Roman" w:cs="Times New Roman"/>
          <w:i/>
          <w:iCs/>
          <w:sz w:val="24"/>
          <w:szCs w:val="24"/>
        </w:rPr>
        <w:t>m</w:t>
      </w:r>
      <w:r w:rsidR="002D50AA" w:rsidRPr="003E7A82">
        <w:rPr>
          <w:rFonts w:ascii="Times New Roman" w:hAnsi="Times New Roman" w:cs="Times New Roman"/>
          <w:i/>
          <w:iCs/>
          <w:sz w:val="24"/>
          <w:szCs w:val="24"/>
        </w:rPr>
        <w:t>ade</w:t>
      </w:r>
      <w:proofErr w:type="spellEnd"/>
      <w:r w:rsidR="002D50AA" w:rsidRPr="003E7A82">
        <w:rPr>
          <w:rFonts w:ascii="Times New Roman" w:hAnsi="Times New Roman" w:cs="Times New Roman"/>
          <w:i/>
          <w:iCs/>
          <w:sz w:val="24"/>
          <w:szCs w:val="24"/>
        </w:rPr>
        <w:t xml:space="preserve"> in Mé</w:t>
      </w:r>
      <w:r w:rsidR="008D295C" w:rsidRPr="003E7A82">
        <w:rPr>
          <w:rFonts w:ascii="Times New Roman" w:hAnsi="Times New Roman" w:cs="Times New Roman"/>
          <w:i/>
          <w:iCs/>
          <w:sz w:val="24"/>
          <w:szCs w:val="24"/>
        </w:rPr>
        <w:t>xico</w:t>
      </w:r>
      <w:r w:rsidR="008F2E9B" w:rsidRPr="003E7A82">
        <w:rPr>
          <w:rFonts w:ascii="Times New Roman" w:hAnsi="Times New Roman" w:cs="Times New Roman"/>
          <w:iCs/>
          <w:sz w:val="24"/>
          <w:szCs w:val="24"/>
        </w:rPr>
        <w:t>’</w:t>
      </w:r>
      <w:r w:rsidR="008D295C" w:rsidRPr="003E7A82">
        <w:rPr>
          <w:rFonts w:ascii="Times New Roman" w:hAnsi="Times New Roman" w:cs="Times New Roman"/>
          <w:iCs/>
          <w:sz w:val="24"/>
          <w:szCs w:val="24"/>
        </w:rPr>
        <w:t xml:space="preserve"> </w:t>
      </w:r>
      <w:r w:rsidR="003E7CA8" w:rsidRPr="003E7A82">
        <w:rPr>
          <w:rFonts w:ascii="Times New Roman" w:hAnsi="Times New Roman" w:cs="Times New Roman"/>
          <w:iCs/>
          <w:sz w:val="24"/>
          <w:szCs w:val="24"/>
        </w:rPr>
        <w:t xml:space="preserve">cruzan la frontera y </w:t>
      </w:r>
      <w:r w:rsidR="008D295C" w:rsidRPr="003E7A82">
        <w:rPr>
          <w:rFonts w:ascii="Times New Roman" w:hAnsi="Times New Roman" w:cs="Times New Roman"/>
          <w:iCs/>
          <w:sz w:val="24"/>
          <w:szCs w:val="24"/>
        </w:rPr>
        <w:t xml:space="preserve">en pocas horas llegan a su </w:t>
      </w:r>
      <w:r w:rsidR="003E7CA8" w:rsidRPr="003E7A82">
        <w:rPr>
          <w:rFonts w:ascii="Times New Roman" w:hAnsi="Times New Roman" w:cs="Times New Roman"/>
          <w:iCs/>
          <w:sz w:val="24"/>
          <w:szCs w:val="24"/>
        </w:rPr>
        <w:t>punto de venta en el país vecino</w:t>
      </w:r>
      <w:r w:rsidR="008D295C" w:rsidRPr="003E7A82">
        <w:rPr>
          <w:rFonts w:ascii="Times New Roman" w:hAnsi="Times New Roman" w:cs="Times New Roman"/>
          <w:iCs/>
          <w:sz w:val="24"/>
          <w:szCs w:val="24"/>
        </w:rPr>
        <w:t>.</w:t>
      </w:r>
    </w:p>
    <w:p w14:paraId="6C451AE8" w14:textId="77777777" w:rsidR="00423BF0" w:rsidRPr="002B6D92" w:rsidRDefault="00D50D69" w:rsidP="002C50B4">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Kindleberger</w:t>
      </w:r>
      <w:r w:rsidR="00423BF0" w:rsidRPr="003E7A82">
        <w:rPr>
          <w:rFonts w:ascii="Times New Roman" w:hAnsi="Times New Roman" w:cs="Times New Roman"/>
          <w:iCs/>
          <w:sz w:val="24"/>
          <w:szCs w:val="24"/>
        </w:rPr>
        <w:t xml:space="preserve"> </w:t>
      </w:r>
      <w:r w:rsidR="00423BF0" w:rsidRPr="002B6D92">
        <w:rPr>
          <w:rFonts w:ascii="Times New Roman" w:hAnsi="Times New Roman" w:cs="Times New Roman"/>
          <w:iCs/>
          <w:sz w:val="24"/>
          <w:szCs w:val="24"/>
        </w:rPr>
        <w:t>y Pascual</w:t>
      </w:r>
      <w:r w:rsidRPr="002B6D92">
        <w:rPr>
          <w:rFonts w:ascii="Times New Roman" w:hAnsi="Times New Roman" w:cs="Times New Roman"/>
          <w:iCs/>
          <w:sz w:val="24"/>
          <w:szCs w:val="24"/>
        </w:rPr>
        <w:t xml:space="preserve"> </w:t>
      </w:r>
      <w:r w:rsidR="00F71FD3" w:rsidRPr="002B6D92">
        <w:rPr>
          <w:rFonts w:ascii="Times New Roman" w:hAnsi="Times New Roman" w:cs="Times New Roman"/>
          <w:iCs/>
          <w:sz w:val="24"/>
          <w:szCs w:val="24"/>
        </w:rPr>
        <w:t xml:space="preserve">(1993) </w:t>
      </w:r>
      <w:r w:rsidR="00215D34" w:rsidRPr="002B6D92">
        <w:rPr>
          <w:rFonts w:ascii="Times New Roman" w:hAnsi="Times New Roman" w:cs="Times New Roman"/>
          <w:iCs/>
          <w:sz w:val="24"/>
          <w:szCs w:val="24"/>
        </w:rPr>
        <w:t xml:space="preserve">y Hymer </w:t>
      </w:r>
      <w:r w:rsidR="007E43FB" w:rsidRPr="002B6D92">
        <w:rPr>
          <w:rFonts w:ascii="Times New Roman" w:hAnsi="Times New Roman" w:cs="Times New Roman"/>
          <w:iCs/>
          <w:sz w:val="24"/>
          <w:szCs w:val="24"/>
        </w:rPr>
        <w:t>(19</w:t>
      </w:r>
      <w:r w:rsidR="003277CA" w:rsidRPr="002B6D92">
        <w:rPr>
          <w:rFonts w:ascii="Times New Roman" w:hAnsi="Times New Roman" w:cs="Times New Roman"/>
          <w:iCs/>
          <w:sz w:val="24"/>
          <w:szCs w:val="24"/>
        </w:rPr>
        <w:t>76</w:t>
      </w:r>
      <w:r w:rsidR="007E43FB" w:rsidRPr="002B6D92">
        <w:rPr>
          <w:rFonts w:ascii="Times New Roman" w:hAnsi="Times New Roman" w:cs="Times New Roman"/>
          <w:iCs/>
          <w:sz w:val="24"/>
          <w:szCs w:val="24"/>
        </w:rPr>
        <w:t xml:space="preserve">) </w:t>
      </w:r>
      <w:r w:rsidR="00215D34" w:rsidRPr="002B6D92">
        <w:rPr>
          <w:rFonts w:ascii="Times New Roman" w:hAnsi="Times New Roman" w:cs="Times New Roman"/>
          <w:iCs/>
          <w:sz w:val="24"/>
          <w:szCs w:val="24"/>
        </w:rPr>
        <w:t>señalan</w:t>
      </w:r>
      <w:r w:rsidRPr="002B6D92">
        <w:rPr>
          <w:rFonts w:ascii="Times New Roman" w:hAnsi="Times New Roman" w:cs="Times New Roman"/>
          <w:iCs/>
          <w:sz w:val="24"/>
          <w:szCs w:val="24"/>
        </w:rPr>
        <w:t xml:space="preserve"> que</w:t>
      </w:r>
      <w:r w:rsidR="00EF26A3" w:rsidRPr="002B6D92">
        <w:rPr>
          <w:rFonts w:ascii="Times New Roman" w:hAnsi="Times New Roman" w:cs="Times New Roman"/>
          <w:iCs/>
          <w:sz w:val="24"/>
          <w:szCs w:val="24"/>
        </w:rPr>
        <w:t xml:space="preserve"> también las</w:t>
      </w:r>
      <w:r w:rsidRPr="002B6D92">
        <w:rPr>
          <w:rFonts w:ascii="Times New Roman" w:hAnsi="Times New Roman" w:cs="Times New Roman"/>
          <w:iCs/>
          <w:sz w:val="24"/>
          <w:szCs w:val="24"/>
        </w:rPr>
        <w:t xml:space="preserve"> empresas </w:t>
      </w:r>
      <w:r w:rsidR="00EF26A3" w:rsidRPr="002B6D92">
        <w:rPr>
          <w:rFonts w:ascii="Times New Roman" w:hAnsi="Times New Roman" w:cs="Times New Roman"/>
          <w:iCs/>
          <w:sz w:val="24"/>
          <w:szCs w:val="24"/>
        </w:rPr>
        <w:t xml:space="preserve">pueden desarrollar </w:t>
      </w:r>
      <w:r w:rsidRPr="002B6D92">
        <w:rPr>
          <w:rFonts w:ascii="Times New Roman" w:hAnsi="Times New Roman" w:cs="Times New Roman"/>
          <w:iCs/>
          <w:sz w:val="24"/>
          <w:szCs w:val="24"/>
        </w:rPr>
        <w:t>instalaciones productivas en el extranjero</w:t>
      </w:r>
      <w:r w:rsidR="006B43E0" w:rsidRPr="002B6D92">
        <w:rPr>
          <w:rFonts w:ascii="Times New Roman" w:hAnsi="Times New Roman" w:cs="Times New Roman"/>
          <w:iCs/>
          <w:sz w:val="24"/>
          <w:szCs w:val="24"/>
        </w:rPr>
        <w:t xml:space="preserve"> o puntos de servicio</w:t>
      </w:r>
      <w:r w:rsidRPr="002B6D92">
        <w:rPr>
          <w:rFonts w:ascii="Times New Roman" w:hAnsi="Times New Roman" w:cs="Times New Roman"/>
          <w:iCs/>
          <w:sz w:val="24"/>
          <w:szCs w:val="24"/>
        </w:rPr>
        <w:t>,</w:t>
      </w:r>
      <w:r w:rsidR="00284678" w:rsidRPr="002B6D92">
        <w:rPr>
          <w:rFonts w:ascii="Times New Roman" w:hAnsi="Times New Roman" w:cs="Times New Roman"/>
          <w:iCs/>
          <w:sz w:val="24"/>
          <w:szCs w:val="24"/>
        </w:rPr>
        <w:t xml:space="preserve"> si</w:t>
      </w:r>
      <w:r w:rsidR="00EF26A3" w:rsidRPr="002B6D92">
        <w:rPr>
          <w:rFonts w:ascii="Times New Roman" w:hAnsi="Times New Roman" w:cs="Times New Roman"/>
          <w:iCs/>
          <w:sz w:val="24"/>
          <w:szCs w:val="24"/>
        </w:rPr>
        <w:t xml:space="preserve"> </w:t>
      </w:r>
      <w:r w:rsidR="00284678" w:rsidRPr="002B6D92">
        <w:rPr>
          <w:rFonts w:ascii="Times New Roman" w:hAnsi="Times New Roman" w:cs="Times New Roman"/>
          <w:iCs/>
          <w:sz w:val="24"/>
          <w:szCs w:val="24"/>
        </w:rPr>
        <w:t>cuentan con</w:t>
      </w:r>
      <w:r w:rsidRPr="002B6D92">
        <w:rPr>
          <w:rFonts w:ascii="Times New Roman" w:hAnsi="Times New Roman" w:cs="Times New Roman"/>
          <w:iCs/>
          <w:sz w:val="24"/>
          <w:szCs w:val="24"/>
        </w:rPr>
        <w:t xml:space="preserve"> alg</w:t>
      </w:r>
      <w:r w:rsidR="00A00C23" w:rsidRPr="002B6D92">
        <w:rPr>
          <w:rFonts w:ascii="Times New Roman" w:hAnsi="Times New Roman" w:cs="Times New Roman"/>
          <w:iCs/>
          <w:sz w:val="24"/>
          <w:szCs w:val="24"/>
        </w:rPr>
        <w:t>u</w:t>
      </w:r>
      <w:r w:rsidRPr="002B6D92">
        <w:rPr>
          <w:rFonts w:ascii="Times New Roman" w:hAnsi="Times New Roman" w:cs="Times New Roman"/>
          <w:iCs/>
          <w:sz w:val="24"/>
          <w:szCs w:val="24"/>
        </w:rPr>
        <w:t>n</w:t>
      </w:r>
      <w:r w:rsidR="00A00C23" w:rsidRPr="002B6D92">
        <w:rPr>
          <w:rFonts w:ascii="Times New Roman" w:hAnsi="Times New Roman" w:cs="Times New Roman"/>
          <w:iCs/>
          <w:sz w:val="24"/>
          <w:szCs w:val="24"/>
        </w:rPr>
        <w:t>a</w:t>
      </w:r>
      <w:r w:rsidRPr="002B6D92">
        <w:rPr>
          <w:rFonts w:ascii="Times New Roman" w:hAnsi="Times New Roman" w:cs="Times New Roman"/>
          <w:iCs/>
          <w:sz w:val="24"/>
          <w:szCs w:val="24"/>
        </w:rPr>
        <w:t xml:space="preserve"> ventaja competitiva</w:t>
      </w:r>
      <w:r w:rsidR="00914E3F" w:rsidRPr="002B6D92">
        <w:rPr>
          <w:rFonts w:ascii="Times New Roman" w:hAnsi="Times New Roman" w:cs="Times New Roman"/>
          <w:iCs/>
          <w:sz w:val="24"/>
          <w:szCs w:val="24"/>
        </w:rPr>
        <w:t xml:space="preserve"> </w:t>
      </w:r>
      <w:r w:rsidR="00A00C23" w:rsidRPr="002B6D92">
        <w:rPr>
          <w:rFonts w:ascii="Times New Roman" w:hAnsi="Times New Roman" w:cs="Times New Roman"/>
          <w:iCs/>
          <w:sz w:val="24"/>
          <w:szCs w:val="24"/>
        </w:rPr>
        <w:t>relevante</w:t>
      </w:r>
      <w:r w:rsidR="004C7F15" w:rsidRPr="002B6D92">
        <w:rPr>
          <w:rFonts w:ascii="Times New Roman" w:hAnsi="Times New Roman" w:cs="Times New Roman"/>
          <w:iCs/>
          <w:sz w:val="24"/>
          <w:szCs w:val="24"/>
        </w:rPr>
        <w:t>, i.e.</w:t>
      </w:r>
      <w:r w:rsidR="00E42640" w:rsidRPr="002B6D92">
        <w:rPr>
          <w:rFonts w:ascii="Times New Roman" w:hAnsi="Times New Roman" w:cs="Times New Roman"/>
          <w:iCs/>
          <w:sz w:val="24"/>
          <w:szCs w:val="24"/>
        </w:rPr>
        <w:t xml:space="preserve"> calidad o ubicación geográfica</w:t>
      </w:r>
      <w:r w:rsidR="00A00C23" w:rsidRPr="002B6D92">
        <w:rPr>
          <w:rFonts w:ascii="Times New Roman" w:hAnsi="Times New Roman" w:cs="Times New Roman"/>
          <w:iCs/>
          <w:sz w:val="24"/>
          <w:szCs w:val="24"/>
        </w:rPr>
        <w:t xml:space="preserve">, </w:t>
      </w:r>
      <w:r w:rsidR="004C7F15" w:rsidRPr="002B6D92">
        <w:rPr>
          <w:rFonts w:ascii="Times New Roman" w:hAnsi="Times New Roman" w:cs="Times New Roman"/>
          <w:iCs/>
          <w:sz w:val="24"/>
          <w:szCs w:val="24"/>
        </w:rPr>
        <w:t>así</w:t>
      </w:r>
      <w:r w:rsidR="00423BF0" w:rsidRPr="002B6D92">
        <w:rPr>
          <w:rFonts w:ascii="Times New Roman" w:hAnsi="Times New Roman" w:cs="Times New Roman"/>
          <w:iCs/>
          <w:sz w:val="24"/>
          <w:szCs w:val="24"/>
        </w:rPr>
        <w:t>:</w:t>
      </w:r>
    </w:p>
    <w:p w14:paraId="2508748A" w14:textId="603914C2" w:rsidR="00955521" w:rsidRPr="003E7A82" w:rsidRDefault="004C7F15" w:rsidP="00E77F98">
      <w:pPr>
        <w:spacing w:before="40" w:after="40" w:line="360" w:lineRule="auto"/>
        <w:ind w:left="567"/>
        <w:jc w:val="both"/>
        <w:rPr>
          <w:rFonts w:ascii="Times New Roman" w:hAnsi="Times New Roman" w:cs="Times New Roman"/>
          <w:iCs/>
          <w:sz w:val="24"/>
          <w:szCs w:val="24"/>
        </w:rPr>
      </w:pPr>
      <w:r w:rsidRPr="002B6D92">
        <w:rPr>
          <w:rFonts w:ascii="Times New Roman" w:hAnsi="Times New Roman" w:cs="Times New Roman"/>
          <w:i/>
          <w:iCs/>
          <w:sz w:val="24"/>
          <w:szCs w:val="24"/>
        </w:rPr>
        <w:t>u</w:t>
      </w:r>
      <w:r w:rsidR="00D50D69" w:rsidRPr="002B6D92">
        <w:rPr>
          <w:rFonts w:ascii="Times New Roman" w:hAnsi="Times New Roman" w:cs="Times New Roman"/>
          <w:i/>
          <w:iCs/>
          <w:sz w:val="24"/>
          <w:szCs w:val="24"/>
        </w:rPr>
        <w:t xml:space="preserve">na empresa con </w:t>
      </w:r>
      <w:r w:rsidR="00D50D69" w:rsidRPr="002B6D92">
        <w:rPr>
          <w:rFonts w:ascii="Times New Roman" w:hAnsi="Times New Roman" w:cs="Times New Roman"/>
          <w:iCs/>
          <w:sz w:val="24"/>
          <w:szCs w:val="24"/>
        </w:rPr>
        <w:t>ventajas competitivas puede competir con otras empresas extranjeras en sus propios mercados, las cuales a</w:t>
      </w:r>
      <w:r w:rsidR="00914E3F" w:rsidRPr="002B6D92">
        <w:rPr>
          <w:rFonts w:ascii="Times New Roman" w:hAnsi="Times New Roman" w:cs="Times New Roman"/>
          <w:iCs/>
          <w:sz w:val="24"/>
          <w:szCs w:val="24"/>
        </w:rPr>
        <w:t xml:space="preserve"> </w:t>
      </w:r>
      <w:r w:rsidR="00D50D69" w:rsidRPr="002B6D92">
        <w:rPr>
          <w:rFonts w:ascii="Times New Roman" w:hAnsi="Times New Roman" w:cs="Times New Roman"/>
          <w:iCs/>
          <w:sz w:val="24"/>
          <w:szCs w:val="24"/>
        </w:rPr>
        <w:t>pesar de que se pueden encontrar mejor establecidas y tener un mayor conocimiento del mercado, se pueden ver obligadas a asumir el coste</w:t>
      </w:r>
      <w:r w:rsidR="00914E3F" w:rsidRPr="002B6D92">
        <w:rPr>
          <w:rFonts w:ascii="Times New Roman" w:hAnsi="Times New Roman" w:cs="Times New Roman"/>
          <w:iCs/>
          <w:sz w:val="24"/>
          <w:szCs w:val="24"/>
        </w:rPr>
        <w:t xml:space="preserve"> </w:t>
      </w:r>
      <w:r w:rsidR="00D50D69" w:rsidRPr="002B6D92">
        <w:rPr>
          <w:rFonts w:ascii="Times New Roman" w:hAnsi="Times New Roman" w:cs="Times New Roman"/>
          <w:iCs/>
          <w:sz w:val="24"/>
          <w:szCs w:val="24"/>
        </w:rPr>
        <w:t>de desarrollar dicha ventaja</w:t>
      </w:r>
      <w:r w:rsidR="00232787" w:rsidRPr="002B6D92">
        <w:rPr>
          <w:rFonts w:ascii="Times New Roman" w:hAnsi="Times New Roman" w:cs="Times New Roman"/>
          <w:iCs/>
          <w:sz w:val="24"/>
          <w:szCs w:val="24"/>
        </w:rPr>
        <w:t xml:space="preserve"> (Kindleberger</w:t>
      </w:r>
      <w:r w:rsidR="000C5764" w:rsidRPr="002B6D92">
        <w:rPr>
          <w:rFonts w:ascii="Times New Roman" w:hAnsi="Times New Roman" w:cs="Times New Roman"/>
          <w:iCs/>
          <w:sz w:val="24"/>
          <w:szCs w:val="24"/>
        </w:rPr>
        <w:t xml:space="preserve"> y Pascual</w:t>
      </w:r>
      <w:r w:rsidR="00232787" w:rsidRPr="002B6D92">
        <w:rPr>
          <w:rFonts w:ascii="Times New Roman" w:hAnsi="Times New Roman" w:cs="Times New Roman"/>
          <w:iCs/>
          <w:sz w:val="24"/>
          <w:szCs w:val="24"/>
        </w:rPr>
        <w:t>, 199</w:t>
      </w:r>
      <w:r w:rsidR="00810988" w:rsidRPr="002B6D92">
        <w:rPr>
          <w:rFonts w:ascii="Times New Roman" w:hAnsi="Times New Roman" w:cs="Times New Roman"/>
          <w:iCs/>
          <w:sz w:val="24"/>
          <w:szCs w:val="24"/>
        </w:rPr>
        <w:t>3</w:t>
      </w:r>
      <w:r w:rsidR="00232787" w:rsidRPr="002B6D92">
        <w:rPr>
          <w:rFonts w:ascii="Times New Roman" w:hAnsi="Times New Roman" w:cs="Times New Roman"/>
          <w:iCs/>
          <w:sz w:val="24"/>
          <w:szCs w:val="24"/>
        </w:rPr>
        <w:t xml:space="preserve">; Hymer, 1976; </w:t>
      </w:r>
      <w:r w:rsidR="00423BF0" w:rsidRPr="002B6D92">
        <w:rPr>
          <w:rFonts w:ascii="Times New Roman" w:hAnsi="Times New Roman" w:cs="Times New Roman"/>
          <w:iCs/>
          <w:sz w:val="24"/>
          <w:szCs w:val="24"/>
        </w:rPr>
        <w:t xml:space="preserve">como se citó en </w:t>
      </w:r>
      <w:r w:rsidR="00232787" w:rsidRPr="002B6D92">
        <w:rPr>
          <w:rFonts w:ascii="Times New Roman" w:hAnsi="Times New Roman" w:cs="Times New Roman"/>
          <w:iCs/>
          <w:sz w:val="24"/>
          <w:szCs w:val="24"/>
        </w:rPr>
        <w:t>Rueda Galavis, 2008, p.</w:t>
      </w:r>
      <w:r w:rsidR="00551E8E" w:rsidRPr="002B6D92">
        <w:rPr>
          <w:rFonts w:ascii="Times New Roman" w:hAnsi="Times New Roman" w:cs="Times New Roman"/>
          <w:iCs/>
          <w:sz w:val="24"/>
          <w:szCs w:val="24"/>
        </w:rPr>
        <w:t xml:space="preserve"> </w:t>
      </w:r>
      <w:r w:rsidR="00232787" w:rsidRPr="002B6D92">
        <w:rPr>
          <w:rFonts w:ascii="Times New Roman" w:hAnsi="Times New Roman" w:cs="Times New Roman"/>
          <w:iCs/>
          <w:sz w:val="24"/>
          <w:szCs w:val="24"/>
        </w:rPr>
        <w:t>53)</w:t>
      </w:r>
      <w:r w:rsidR="004A7656" w:rsidRPr="002B6D92">
        <w:rPr>
          <w:rFonts w:ascii="Times New Roman" w:hAnsi="Times New Roman" w:cs="Times New Roman"/>
          <w:iCs/>
          <w:sz w:val="24"/>
          <w:szCs w:val="24"/>
        </w:rPr>
        <w:t>.</w:t>
      </w:r>
    </w:p>
    <w:p w14:paraId="00BEFA3E" w14:textId="77777777" w:rsidR="0028689B" w:rsidRDefault="0028689B" w:rsidP="00E77F98">
      <w:pPr>
        <w:spacing w:before="40" w:after="40" w:line="360" w:lineRule="auto"/>
        <w:ind w:left="284"/>
        <w:jc w:val="center"/>
        <w:rPr>
          <w:rFonts w:ascii="Times New Roman" w:hAnsi="Times New Roman" w:cs="Times New Roman"/>
          <w:b/>
          <w:iCs/>
          <w:sz w:val="28"/>
          <w:szCs w:val="28"/>
        </w:rPr>
      </w:pPr>
    </w:p>
    <w:p w14:paraId="32352FD3" w14:textId="1BE86FAF" w:rsidR="00590B30" w:rsidRPr="003E7A82" w:rsidRDefault="00B25E69" w:rsidP="00E77F98">
      <w:pPr>
        <w:spacing w:before="40" w:after="40" w:line="360" w:lineRule="auto"/>
        <w:ind w:left="284"/>
        <w:jc w:val="center"/>
        <w:rPr>
          <w:rFonts w:ascii="Times New Roman" w:hAnsi="Times New Roman" w:cs="Times New Roman"/>
          <w:b/>
          <w:iCs/>
          <w:sz w:val="28"/>
          <w:szCs w:val="28"/>
        </w:rPr>
      </w:pPr>
      <w:r w:rsidRPr="003E7A82">
        <w:rPr>
          <w:rFonts w:ascii="Times New Roman" w:hAnsi="Times New Roman" w:cs="Times New Roman"/>
          <w:b/>
          <w:iCs/>
          <w:sz w:val="28"/>
          <w:szCs w:val="28"/>
        </w:rPr>
        <w:t>Mejores c</w:t>
      </w:r>
      <w:r w:rsidR="000B021B" w:rsidRPr="003E7A82">
        <w:rPr>
          <w:rFonts w:ascii="Times New Roman" w:hAnsi="Times New Roman" w:cs="Times New Roman"/>
          <w:b/>
          <w:iCs/>
          <w:sz w:val="28"/>
          <w:szCs w:val="28"/>
        </w:rPr>
        <w:t xml:space="preserve">ondiciones económicas y jurídicas en </w:t>
      </w:r>
      <w:r w:rsidRPr="003E7A82">
        <w:rPr>
          <w:rFonts w:ascii="Times New Roman" w:hAnsi="Times New Roman" w:cs="Times New Roman"/>
          <w:b/>
          <w:iCs/>
          <w:sz w:val="28"/>
          <w:szCs w:val="28"/>
        </w:rPr>
        <w:t>otro</w:t>
      </w:r>
      <w:r w:rsidR="000B021B" w:rsidRPr="003E7A82">
        <w:rPr>
          <w:rFonts w:ascii="Times New Roman" w:hAnsi="Times New Roman" w:cs="Times New Roman"/>
          <w:b/>
          <w:iCs/>
          <w:sz w:val="28"/>
          <w:szCs w:val="28"/>
        </w:rPr>
        <w:t xml:space="preserve"> país</w:t>
      </w:r>
    </w:p>
    <w:p w14:paraId="58611F6E" w14:textId="6229065F" w:rsidR="000B021B" w:rsidRPr="003E7A82" w:rsidRDefault="00590B30"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E</w:t>
      </w:r>
      <w:r w:rsidR="00070065" w:rsidRPr="003E7A82">
        <w:rPr>
          <w:rFonts w:ascii="Times New Roman" w:hAnsi="Times New Roman" w:cs="Times New Roman"/>
          <w:iCs/>
          <w:sz w:val="24"/>
          <w:szCs w:val="24"/>
        </w:rPr>
        <w:t xml:space="preserve">stas pueden estar dadas por </w:t>
      </w:r>
      <w:r w:rsidR="000B021B" w:rsidRPr="003E7A82">
        <w:rPr>
          <w:rFonts w:ascii="Times New Roman" w:hAnsi="Times New Roman" w:cs="Times New Roman"/>
          <w:iCs/>
          <w:sz w:val="24"/>
          <w:szCs w:val="24"/>
        </w:rPr>
        <w:t xml:space="preserve">apoyo a la inversión, </w:t>
      </w:r>
      <w:r w:rsidR="00216CAC" w:rsidRPr="003E7A82">
        <w:rPr>
          <w:rFonts w:ascii="Times New Roman" w:hAnsi="Times New Roman" w:cs="Times New Roman"/>
          <w:iCs/>
          <w:sz w:val="24"/>
          <w:szCs w:val="24"/>
        </w:rPr>
        <w:t xml:space="preserve">accesibilidad a </w:t>
      </w:r>
      <w:r w:rsidR="000B021B" w:rsidRPr="003E7A82">
        <w:rPr>
          <w:rFonts w:ascii="Times New Roman" w:hAnsi="Times New Roman" w:cs="Times New Roman"/>
          <w:iCs/>
          <w:sz w:val="24"/>
          <w:szCs w:val="24"/>
        </w:rPr>
        <w:t>cr</w:t>
      </w:r>
      <w:r w:rsidR="00216CAC" w:rsidRPr="003E7A82">
        <w:rPr>
          <w:rFonts w:ascii="Times New Roman" w:hAnsi="Times New Roman" w:cs="Times New Roman"/>
          <w:iCs/>
          <w:sz w:val="24"/>
          <w:szCs w:val="24"/>
        </w:rPr>
        <w:t>é</w:t>
      </w:r>
      <w:r w:rsidR="000B021B" w:rsidRPr="003E7A82">
        <w:rPr>
          <w:rFonts w:ascii="Times New Roman" w:hAnsi="Times New Roman" w:cs="Times New Roman"/>
          <w:iCs/>
          <w:sz w:val="24"/>
          <w:szCs w:val="24"/>
        </w:rPr>
        <w:t>ditos, legislaci</w:t>
      </w:r>
      <w:r w:rsidR="002D6534" w:rsidRPr="003E7A82">
        <w:rPr>
          <w:rFonts w:ascii="Times New Roman" w:hAnsi="Times New Roman" w:cs="Times New Roman"/>
          <w:iCs/>
          <w:sz w:val="24"/>
          <w:szCs w:val="24"/>
        </w:rPr>
        <w:t>ón</w:t>
      </w:r>
      <w:r w:rsidR="000B021B" w:rsidRPr="003E7A82">
        <w:rPr>
          <w:rFonts w:ascii="Times New Roman" w:hAnsi="Times New Roman" w:cs="Times New Roman"/>
          <w:iCs/>
          <w:sz w:val="24"/>
          <w:szCs w:val="24"/>
        </w:rPr>
        <w:t xml:space="preserve"> a</w:t>
      </w:r>
      <w:r w:rsidR="002D6534" w:rsidRPr="003E7A82">
        <w:rPr>
          <w:rFonts w:ascii="Times New Roman" w:hAnsi="Times New Roman" w:cs="Times New Roman"/>
          <w:iCs/>
          <w:sz w:val="24"/>
          <w:szCs w:val="24"/>
        </w:rPr>
        <w:t>ceptable</w:t>
      </w:r>
      <w:r w:rsidR="000B021B" w:rsidRPr="003E7A82">
        <w:rPr>
          <w:rFonts w:ascii="Times New Roman" w:hAnsi="Times New Roman" w:cs="Times New Roman"/>
          <w:iCs/>
          <w:sz w:val="24"/>
          <w:szCs w:val="24"/>
        </w:rPr>
        <w:t xml:space="preserve"> sobre los derechos de propiedad y una econ</w:t>
      </w:r>
      <w:r w:rsidR="00667284" w:rsidRPr="003E7A82">
        <w:rPr>
          <w:rFonts w:ascii="Times New Roman" w:hAnsi="Times New Roman" w:cs="Times New Roman"/>
          <w:iCs/>
          <w:sz w:val="24"/>
          <w:szCs w:val="24"/>
        </w:rPr>
        <w:t>o</w:t>
      </w:r>
      <w:r w:rsidR="000B021B" w:rsidRPr="003E7A82">
        <w:rPr>
          <w:rFonts w:ascii="Times New Roman" w:hAnsi="Times New Roman" w:cs="Times New Roman"/>
          <w:iCs/>
          <w:sz w:val="24"/>
          <w:szCs w:val="24"/>
        </w:rPr>
        <w:t>m</w:t>
      </w:r>
      <w:r w:rsidR="00667284" w:rsidRPr="003E7A82">
        <w:rPr>
          <w:rFonts w:ascii="Times New Roman" w:hAnsi="Times New Roman" w:cs="Times New Roman"/>
          <w:iCs/>
          <w:sz w:val="24"/>
          <w:szCs w:val="24"/>
        </w:rPr>
        <w:t>ía</w:t>
      </w:r>
      <w:r w:rsidR="000B021B" w:rsidRPr="003E7A82">
        <w:rPr>
          <w:rFonts w:ascii="Times New Roman" w:hAnsi="Times New Roman" w:cs="Times New Roman"/>
          <w:iCs/>
          <w:sz w:val="24"/>
          <w:szCs w:val="24"/>
        </w:rPr>
        <w:t xml:space="preserve"> política </w:t>
      </w:r>
      <w:r w:rsidR="002D6534" w:rsidRPr="003E7A82">
        <w:rPr>
          <w:rFonts w:ascii="Times New Roman" w:hAnsi="Times New Roman" w:cs="Times New Roman"/>
          <w:iCs/>
          <w:sz w:val="24"/>
          <w:szCs w:val="24"/>
        </w:rPr>
        <w:t>estable</w:t>
      </w:r>
      <w:r w:rsidR="0084592F" w:rsidRPr="003E7A82">
        <w:rPr>
          <w:rFonts w:ascii="Times New Roman" w:hAnsi="Times New Roman" w:cs="Times New Roman"/>
          <w:iCs/>
          <w:sz w:val="24"/>
          <w:szCs w:val="24"/>
        </w:rPr>
        <w:t xml:space="preserve"> de</w:t>
      </w:r>
      <w:r w:rsidR="000B021B" w:rsidRPr="003E7A82">
        <w:rPr>
          <w:rFonts w:ascii="Times New Roman" w:hAnsi="Times New Roman" w:cs="Times New Roman"/>
          <w:iCs/>
          <w:sz w:val="24"/>
          <w:szCs w:val="24"/>
        </w:rPr>
        <w:t xml:space="preserve"> un </w:t>
      </w:r>
      <w:r w:rsidR="001A0052" w:rsidRPr="003E7A82">
        <w:rPr>
          <w:rFonts w:ascii="Times New Roman" w:hAnsi="Times New Roman" w:cs="Times New Roman"/>
          <w:iCs/>
          <w:sz w:val="24"/>
          <w:szCs w:val="24"/>
        </w:rPr>
        <w:t>país</w:t>
      </w:r>
      <w:r w:rsidR="000B021B" w:rsidRPr="003E7A82">
        <w:rPr>
          <w:rFonts w:ascii="Times New Roman" w:hAnsi="Times New Roman" w:cs="Times New Roman"/>
          <w:iCs/>
          <w:sz w:val="24"/>
          <w:szCs w:val="24"/>
        </w:rPr>
        <w:t xml:space="preserve"> extranjer</w:t>
      </w:r>
      <w:r w:rsidR="001A0052" w:rsidRPr="003E7A82">
        <w:rPr>
          <w:rFonts w:ascii="Times New Roman" w:hAnsi="Times New Roman" w:cs="Times New Roman"/>
          <w:iCs/>
          <w:sz w:val="24"/>
          <w:szCs w:val="24"/>
        </w:rPr>
        <w:t>o</w:t>
      </w:r>
      <w:r w:rsidR="000B021B" w:rsidRPr="003E7A82">
        <w:rPr>
          <w:rFonts w:ascii="Times New Roman" w:hAnsi="Times New Roman" w:cs="Times New Roman"/>
          <w:iCs/>
          <w:sz w:val="24"/>
          <w:szCs w:val="24"/>
        </w:rPr>
        <w:t xml:space="preserve"> </w:t>
      </w:r>
      <w:r w:rsidR="00D65386" w:rsidRPr="003E7A82">
        <w:rPr>
          <w:rFonts w:ascii="Times New Roman" w:hAnsi="Times New Roman" w:cs="Times New Roman"/>
          <w:iCs/>
          <w:sz w:val="24"/>
          <w:szCs w:val="24"/>
        </w:rPr>
        <w:t xml:space="preserve">que </w:t>
      </w:r>
      <w:r w:rsidR="000B021B" w:rsidRPr="003E7A82">
        <w:rPr>
          <w:rFonts w:ascii="Times New Roman" w:hAnsi="Times New Roman" w:cs="Times New Roman"/>
          <w:iCs/>
          <w:sz w:val="24"/>
          <w:szCs w:val="24"/>
        </w:rPr>
        <w:t>p</w:t>
      </w:r>
      <w:r w:rsidR="00237C97" w:rsidRPr="003E7A82">
        <w:rPr>
          <w:rFonts w:ascii="Times New Roman" w:hAnsi="Times New Roman" w:cs="Times New Roman"/>
          <w:iCs/>
          <w:sz w:val="24"/>
          <w:szCs w:val="24"/>
        </w:rPr>
        <w:t>ermiten</w:t>
      </w:r>
      <w:r w:rsidR="000B021B" w:rsidRPr="003E7A82">
        <w:rPr>
          <w:rFonts w:ascii="Times New Roman" w:hAnsi="Times New Roman" w:cs="Times New Roman"/>
          <w:iCs/>
          <w:sz w:val="24"/>
          <w:szCs w:val="24"/>
        </w:rPr>
        <w:t xml:space="preserve"> a las empresas incursionar en la internacionalización de </w:t>
      </w:r>
      <w:r w:rsidR="005F7417" w:rsidRPr="003E7A82">
        <w:rPr>
          <w:rFonts w:ascii="Times New Roman" w:hAnsi="Times New Roman" w:cs="Times New Roman"/>
          <w:iCs/>
          <w:sz w:val="24"/>
          <w:szCs w:val="24"/>
        </w:rPr>
        <w:t>sus servicios</w:t>
      </w:r>
      <w:r w:rsidR="00415404" w:rsidRPr="003E7A82">
        <w:rPr>
          <w:rFonts w:ascii="Times New Roman" w:hAnsi="Times New Roman" w:cs="Times New Roman"/>
          <w:iCs/>
          <w:sz w:val="24"/>
          <w:szCs w:val="24"/>
        </w:rPr>
        <w:t xml:space="preserve"> </w:t>
      </w:r>
      <w:r w:rsidR="00237C97" w:rsidRPr="003E7A82">
        <w:rPr>
          <w:rFonts w:ascii="Times New Roman" w:hAnsi="Times New Roman" w:cs="Times New Roman"/>
          <w:iCs/>
          <w:sz w:val="24"/>
          <w:szCs w:val="24"/>
        </w:rPr>
        <w:t>y</w:t>
      </w:r>
      <w:r w:rsidR="00415404" w:rsidRPr="003E7A82">
        <w:rPr>
          <w:rFonts w:ascii="Times New Roman" w:hAnsi="Times New Roman" w:cs="Times New Roman"/>
          <w:iCs/>
          <w:sz w:val="24"/>
          <w:szCs w:val="24"/>
        </w:rPr>
        <w:t xml:space="preserve"> productos</w:t>
      </w:r>
      <w:r w:rsidR="000B021B" w:rsidRPr="003E7A82">
        <w:rPr>
          <w:rFonts w:ascii="Times New Roman" w:hAnsi="Times New Roman" w:cs="Times New Roman"/>
          <w:iCs/>
          <w:sz w:val="24"/>
          <w:szCs w:val="24"/>
        </w:rPr>
        <w:t xml:space="preserve"> </w:t>
      </w:r>
      <w:r w:rsidR="00C80E60" w:rsidRPr="003E7A82">
        <w:rPr>
          <w:rFonts w:ascii="Times New Roman" w:hAnsi="Times New Roman" w:cs="Times New Roman"/>
          <w:iCs/>
          <w:sz w:val="24"/>
          <w:szCs w:val="24"/>
        </w:rPr>
        <w:t>en</w:t>
      </w:r>
      <w:r w:rsidR="000B021B" w:rsidRPr="003E7A82">
        <w:rPr>
          <w:rFonts w:ascii="Times New Roman" w:hAnsi="Times New Roman" w:cs="Times New Roman"/>
          <w:iCs/>
          <w:sz w:val="24"/>
          <w:szCs w:val="24"/>
        </w:rPr>
        <w:t xml:space="preserve"> búsqueda de </w:t>
      </w:r>
      <w:r w:rsidR="00C80E60" w:rsidRPr="003E7A82">
        <w:rPr>
          <w:rFonts w:ascii="Times New Roman" w:hAnsi="Times New Roman" w:cs="Times New Roman"/>
          <w:iCs/>
          <w:sz w:val="24"/>
          <w:szCs w:val="24"/>
        </w:rPr>
        <w:t>una ampliación de su</w:t>
      </w:r>
      <w:r w:rsidR="00237C97" w:rsidRPr="003E7A82">
        <w:rPr>
          <w:rFonts w:ascii="Times New Roman" w:hAnsi="Times New Roman" w:cs="Times New Roman"/>
          <w:iCs/>
          <w:sz w:val="24"/>
          <w:szCs w:val="24"/>
        </w:rPr>
        <w:t>s</w:t>
      </w:r>
      <w:r w:rsidR="000B021B" w:rsidRPr="003E7A82">
        <w:rPr>
          <w:rFonts w:ascii="Times New Roman" w:hAnsi="Times New Roman" w:cs="Times New Roman"/>
          <w:iCs/>
          <w:sz w:val="24"/>
          <w:szCs w:val="24"/>
        </w:rPr>
        <w:t xml:space="preserve"> mercado</w:t>
      </w:r>
      <w:r w:rsidR="00237C97" w:rsidRPr="003E7A82">
        <w:rPr>
          <w:rFonts w:ascii="Times New Roman" w:hAnsi="Times New Roman" w:cs="Times New Roman"/>
          <w:iCs/>
          <w:sz w:val="24"/>
          <w:szCs w:val="24"/>
        </w:rPr>
        <w:t>s</w:t>
      </w:r>
      <w:r w:rsidR="000B021B" w:rsidRPr="003E7A82">
        <w:rPr>
          <w:rFonts w:ascii="Times New Roman" w:hAnsi="Times New Roman" w:cs="Times New Roman"/>
          <w:iCs/>
          <w:sz w:val="24"/>
          <w:szCs w:val="24"/>
        </w:rPr>
        <w:t xml:space="preserve"> (Rodrik</w:t>
      </w:r>
      <w:r w:rsidR="003B0247" w:rsidRPr="003E7A82">
        <w:rPr>
          <w:rFonts w:ascii="Times New Roman" w:hAnsi="Times New Roman" w:cs="Times New Roman"/>
          <w:iCs/>
          <w:sz w:val="24"/>
          <w:szCs w:val="24"/>
        </w:rPr>
        <w:t>, 2003</w:t>
      </w:r>
      <w:r w:rsidR="008E37A1" w:rsidRPr="003E7A82">
        <w:rPr>
          <w:rFonts w:ascii="Times New Roman" w:hAnsi="Times New Roman" w:cs="Times New Roman"/>
          <w:iCs/>
          <w:sz w:val="24"/>
          <w:szCs w:val="24"/>
        </w:rPr>
        <w:t xml:space="preserve">; </w:t>
      </w:r>
      <w:r w:rsidR="00423BF0" w:rsidRPr="002B6D92">
        <w:rPr>
          <w:rFonts w:ascii="Times New Roman" w:hAnsi="Times New Roman" w:cs="Times New Roman"/>
          <w:iCs/>
          <w:sz w:val="24"/>
          <w:szCs w:val="24"/>
        </w:rPr>
        <w:t xml:space="preserve">como se citó en </w:t>
      </w:r>
      <w:r w:rsidR="008E37A1" w:rsidRPr="002B6D92">
        <w:rPr>
          <w:rFonts w:ascii="Times New Roman" w:hAnsi="Times New Roman" w:cs="Times New Roman"/>
          <w:iCs/>
          <w:sz w:val="24"/>
          <w:szCs w:val="24"/>
        </w:rPr>
        <w:t>Rueda Galavis, 2008</w:t>
      </w:r>
      <w:r w:rsidR="000B021B" w:rsidRPr="002B6D92">
        <w:rPr>
          <w:rFonts w:ascii="Times New Roman" w:hAnsi="Times New Roman" w:cs="Times New Roman"/>
          <w:iCs/>
          <w:sz w:val="24"/>
          <w:szCs w:val="24"/>
        </w:rPr>
        <w:t>)</w:t>
      </w:r>
      <w:r w:rsidR="00EF6D6C" w:rsidRPr="002B6D92">
        <w:rPr>
          <w:rFonts w:ascii="Times New Roman" w:hAnsi="Times New Roman" w:cs="Times New Roman"/>
          <w:iCs/>
          <w:sz w:val="24"/>
          <w:szCs w:val="24"/>
        </w:rPr>
        <w:t xml:space="preserve">, </w:t>
      </w:r>
      <w:r w:rsidR="00597CAC" w:rsidRPr="002B6D92">
        <w:rPr>
          <w:rFonts w:ascii="Times New Roman" w:hAnsi="Times New Roman" w:cs="Times New Roman"/>
          <w:iCs/>
          <w:sz w:val="24"/>
          <w:szCs w:val="24"/>
        </w:rPr>
        <w:t>en los países que</w:t>
      </w:r>
      <w:r w:rsidR="00667284" w:rsidRPr="002B6D92">
        <w:rPr>
          <w:rFonts w:ascii="Times New Roman" w:hAnsi="Times New Roman" w:cs="Times New Roman"/>
          <w:iCs/>
          <w:sz w:val="24"/>
          <w:szCs w:val="24"/>
        </w:rPr>
        <w:t xml:space="preserve"> </w:t>
      </w:r>
      <w:r w:rsidR="007853A8" w:rsidRPr="002B6D92">
        <w:rPr>
          <w:rFonts w:ascii="Times New Roman" w:hAnsi="Times New Roman" w:cs="Times New Roman"/>
          <w:iCs/>
          <w:sz w:val="24"/>
          <w:szCs w:val="24"/>
        </w:rPr>
        <w:t xml:space="preserve">se dan </w:t>
      </w:r>
      <w:r w:rsidR="000B021B" w:rsidRPr="002B6D92">
        <w:rPr>
          <w:rFonts w:ascii="Times New Roman" w:hAnsi="Times New Roman" w:cs="Times New Roman"/>
          <w:iCs/>
          <w:sz w:val="24"/>
          <w:szCs w:val="24"/>
        </w:rPr>
        <w:t>estas condiciones, la interna</w:t>
      </w:r>
      <w:r w:rsidR="000B021B" w:rsidRPr="003E7A82">
        <w:rPr>
          <w:rFonts w:ascii="Times New Roman" w:hAnsi="Times New Roman" w:cs="Times New Roman"/>
          <w:iCs/>
          <w:sz w:val="24"/>
          <w:szCs w:val="24"/>
        </w:rPr>
        <w:t xml:space="preserve">cionalización </w:t>
      </w:r>
      <w:r w:rsidR="00EC23A1" w:rsidRPr="003E7A82">
        <w:rPr>
          <w:rFonts w:ascii="Times New Roman" w:hAnsi="Times New Roman" w:cs="Times New Roman"/>
          <w:iCs/>
          <w:sz w:val="24"/>
          <w:szCs w:val="24"/>
        </w:rPr>
        <w:t>se convierte en un contrapeso</w:t>
      </w:r>
      <w:r w:rsidR="00D32B98" w:rsidRPr="003E7A82">
        <w:rPr>
          <w:rFonts w:ascii="Times New Roman" w:hAnsi="Times New Roman" w:cs="Times New Roman"/>
          <w:iCs/>
          <w:sz w:val="24"/>
          <w:szCs w:val="24"/>
        </w:rPr>
        <w:t xml:space="preserve"> de </w:t>
      </w:r>
      <w:r w:rsidR="00125B8B" w:rsidRPr="003E7A82">
        <w:rPr>
          <w:rFonts w:ascii="Times New Roman" w:hAnsi="Times New Roman" w:cs="Times New Roman"/>
          <w:iCs/>
          <w:sz w:val="24"/>
          <w:szCs w:val="24"/>
        </w:rPr>
        <w:t>“</w:t>
      </w:r>
      <w:r w:rsidR="000B021B" w:rsidRPr="003E7A82">
        <w:rPr>
          <w:rFonts w:ascii="Times New Roman" w:hAnsi="Times New Roman" w:cs="Times New Roman"/>
          <w:iCs/>
          <w:sz w:val="24"/>
          <w:szCs w:val="24"/>
        </w:rPr>
        <w:t>la corrupción e</w:t>
      </w:r>
      <w:r w:rsidR="00667284" w:rsidRPr="003E7A82">
        <w:rPr>
          <w:rFonts w:ascii="Times New Roman" w:hAnsi="Times New Roman" w:cs="Times New Roman"/>
          <w:iCs/>
          <w:sz w:val="24"/>
          <w:szCs w:val="24"/>
        </w:rPr>
        <w:t xml:space="preserve"> </w:t>
      </w:r>
      <w:r w:rsidR="000B021B" w:rsidRPr="003E7A82">
        <w:rPr>
          <w:rFonts w:ascii="Times New Roman" w:hAnsi="Times New Roman" w:cs="Times New Roman"/>
          <w:iCs/>
          <w:sz w:val="24"/>
          <w:szCs w:val="24"/>
        </w:rPr>
        <w:t>inestabilidad política</w:t>
      </w:r>
      <w:r w:rsidR="00125B8B" w:rsidRPr="003E7A82">
        <w:rPr>
          <w:rFonts w:ascii="Times New Roman" w:hAnsi="Times New Roman" w:cs="Times New Roman"/>
          <w:iCs/>
          <w:sz w:val="24"/>
          <w:szCs w:val="24"/>
        </w:rPr>
        <w:t>”</w:t>
      </w:r>
      <w:r w:rsidR="00D62F2E" w:rsidRPr="003E7A82">
        <w:rPr>
          <w:rFonts w:ascii="Times New Roman" w:hAnsi="Times New Roman" w:cs="Times New Roman"/>
          <w:iCs/>
          <w:sz w:val="24"/>
          <w:szCs w:val="24"/>
        </w:rPr>
        <w:t xml:space="preserve"> (Rueda Galavis, 2008, p.</w:t>
      </w:r>
      <w:r w:rsidR="00551E8E" w:rsidRPr="003E7A82">
        <w:rPr>
          <w:rFonts w:ascii="Times New Roman" w:hAnsi="Times New Roman" w:cs="Times New Roman"/>
          <w:iCs/>
          <w:sz w:val="24"/>
          <w:szCs w:val="24"/>
        </w:rPr>
        <w:t xml:space="preserve"> </w:t>
      </w:r>
      <w:r w:rsidR="00D62F2E" w:rsidRPr="003E7A82">
        <w:rPr>
          <w:rFonts w:ascii="Times New Roman" w:hAnsi="Times New Roman" w:cs="Times New Roman"/>
          <w:iCs/>
          <w:sz w:val="24"/>
          <w:szCs w:val="24"/>
        </w:rPr>
        <w:t>53)</w:t>
      </w:r>
      <w:r w:rsidR="000B021B" w:rsidRPr="003E7A82">
        <w:rPr>
          <w:rFonts w:ascii="Times New Roman" w:hAnsi="Times New Roman" w:cs="Times New Roman"/>
          <w:iCs/>
          <w:sz w:val="24"/>
          <w:szCs w:val="24"/>
        </w:rPr>
        <w:t>.</w:t>
      </w:r>
    </w:p>
    <w:p w14:paraId="4A26F12C" w14:textId="77777777" w:rsidR="00E77F98" w:rsidRDefault="00E77F98" w:rsidP="00E77F98">
      <w:pPr>
        <w:spacing w:before="40" w:after="40" w:line="360" w:lineRule="auto"/>
        <w:ind w:left="284"/>
        <w:jc w:val="center"/>
        <w:rPr>
          <w:rFonts w:ascii="Times New Roman" w:hAnsi="Times New Roman" w:cs="Times New Roman"/>
          <w:b/>
          <w:iCs/>
          <w:sz w:val="28"/>
          <w:szCs w:val="28"/>
        </w:rPr>
      </w:pPr>
    </w:p>
    <w:p w14:paraId="2A7C8884" w14:textId="17343D78" w:rsidR="00590B30" w:rsidRPr="003E7A82" w:rsidRDefault="006F0017" w:rsidP="00E77F98">
      <w:pPr>
        <w:spacing w:before="40" w:after="40" w:line="360" w:lineRule="auto"/>
        <w:ind w:left="284"/>
        <w:jc w:val="center"/>
        <w:rPr>
          <w:rFonts w:ascii="Times New Roman" w:hAnsi="Times New Roman" w:cs="Times New Roman"/>
          <w:iCs/>
          <w:sz w:val="24"/>
          <w:szCs w:val="24"/>
        </w:rPr>
      </w:pPr>
      <w:r w:rsidRPr="003E7A82">
        <w:rPr>
          <w:rFonts w:ascii="Times New Roman" w:hAnsi="Times New Roman" w:cs="Times New Roman"/>
          <w:b/>
          <w:iCs/>
          <w:sz w:val="28"/>
          <w:szCs w:val="28"/>
        </w:rPr>
        <w:t>Riesgos</w:t>
      </w:r>
      <w:r w:rsidR="003949FA" w:rsidRPr="003E7A82">
        <w:rPr>
          <w:rFonts w:ascii="Times New Roman" w:hAnsi="Times New Roman" w:cs="Times New Roman"/>
          <w:b/>
          <w:iCs/>
          <w:sz w:val="28"/>
          <w:szCs w:val="28"/>
        </w:rPr>
        <w:t xml:space="preserve"> potenciales</w:t>
      </w:r>
    </w:p>
    <w:p w14:paraId="1F638E09" w14:textId="2C434095" w:rsidR="000B021B" w:rsidRPr="003E7A82" w:rsidRDefault="00590B30"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A</w:t>
      </w:r>
      <w:r w:rsidR="006D277F" w:rsidRPr="003E7A82">
        <w:rPr>
          <w:rFonts w:ascii="Times New Roman" w:hAnsi="Times New Roman" w:cs="Times New Roman"/>
          <w:iCs/>
          <w:sz w:val="24"/>
          <w:szCs w:val="24"/>
        </w:rPr>
        <w:t>nte la saturación de l</w:t>
      </w:r>
      <w:r w:rsidR="005D4CE5" w:rsidRPr="003E7A82">
        <w:rPr>
          <w:rFonts w:ascii="Times New Roman" w:hAnsi="Times New Roman" w:cs="Times New Roman"/>
          <w:iCs/>
          <w:sz w:val="24"/>
          <w:szCs w:val="24"/>
        </w:rPr>
        <w:t>as economías,</w:t>
      </w:r>
      <w:r w:rsidR="006D277F" w:rsidRPr="003E7A82">
        <w:rPr>
          <w:rFonts w:ascii="Times New Roman" w:hAnsi="Times New Roman" w:cs="Times New Roman"/>
          <w:iCs/>
          <w:sz w:val="24"/>
          <w:szCs w:val="24"/>
        </w:rPr>
        <w:t xml:space="preserve"> </w:t>
      </w:r>
      <w:r w:rsidR="003949FA" w:rsidRPr="003E7A82">
        <w:rPr>
          <w:rFonts w:ascii="Times New Roman" w:hAnsi="Times New Roman" w:cs="Times New Roman"/>
          <w:iCs/>
          <w:sz w:val="24"/>
          <w:szCs w:val="24"/>
        </w:rPr>
        <w:t xml:space="preserve">la búsqueda de nuevos mercados puede dirigirse </w:t>
      </w:r>
      <w:r w:rsidR="00FC319E" w:rsidRPr="003E7A82">
        <w:rPr>
          <w:rFonts w:ascii="Times New Roman" w:hAnsi="Times New Roman" w:cs="Times New Roman"/>
          <w:iCs/>
          <w:sz w:val="24"/>
          <w:szCs w:val="24"/>
        </w:rPr>
        <w:t xml:space="preserve">a países de los llamados </w:t>
      </w:r>
      <w:r w:rsidR="000B021B" w:rsidRPr="003E7A82">
        <w:rPr>
          <w:rFonts w:ascii="Times New Roman" w:hAnsi="Times New Roman" w:cs="Times New Roman"/>
          <w:iCs/>
          <w:sz w:val="24"/>
          <w:szCs w:val="24"/>
        </w:rPr>
        <w:t>Mercados Emergentes</w:t>
      </w:r>
      <w:r w:rsidR="0004043C" w:rsidRPr="003E7A82">
        <w:rPr>
          <w:rFonts w:ascii="Times New Roman" w:hAnsi="Times New Roman" w:cs="Times New Roman"/>
          <w:iCs/>
          <w:sz w:val="24"/>
          <w:szCs w:val="24"/>
        </w:rPr>
        <w:t xml:space="preserve"> lo que puede hacer de la internacionalización </w:t>
      </w:r>
      <w:r w:rsidR="00DF37EF" w:rsidRPr="003E7A82">
        <w:rPr>
          <w:rFonts w:ascii="Times New Roman" w:hAnsi="Times New Roman" w:cs="Times New Roman"/>
          <w:iCs/>
          <w:sz w:val="24"/>
          <w:szCs w:val="24"/>
        </w:rPr>
        <w:t xml:space="preserve">un riesgo para las </w:t>
      </w:r>
      <w:r w:rsidR="000B021B" w:rsidRPr="003E7A82">
        <w:rPr>
          <w:rFonts w:ascii="Times New Roman" w:hAnsi="Times New Roman" w:cs="Times New Roman"/>
          <w:iCs/>
          <w:sz w:val="24"/>
          <w:szCs w:val="24"/>
        </w:rPr>
        <w:t xml:space="preserve">empresas. </w:t>
      </w:r>
      <w:r w:rsidR="00DF37EF" w:rsidRPr="003E7A82">
        <w:rPr>
          <w:rFonts w:ascii="Times New Roman" w:hAnsi="Times New Roman" w:cs="Times New Roman"/>
          <w:iCs/>
          <w:sz w:val="24"/>
          <w:szCs w:val="24"/>
        </w:rPr>
        <w:t>Esto puede ser consecuencia d</w:t>
      </w:r>
      <w:r w:rsidR="000B021B" w:rsidRPr="003E7A82">
        <w:rPr>
          <w:rFonts w:ascii="Times New Roman" w:hAnsi="Times New Roman" w:cs="Times New Roman"/>
          <w:iCs/>
          <w:sz w:val="24"/>
          <w:szCs w:val="24"/>
        </w:rPr>
        <w:t xml:space="preserve">el estancamiento económico del país de origen o </w:t>
      </w:r>
      <w:r w:rsidR="00DF37EF" w:rsidRPr="003E7A82">
        <w:rPr>
          <w:rFonts w:ascii="Times New Roman" w:hAnsi="Times New Roman" w:cs="Times New Roman"/>
          <w:iCs/>
          <w:sz w:val="24"/>
          <w:szCs w:val="24"/>
        </w:rPr>
        <w:t xml:space="preserve">simplemente por cambios en </w:t>
      </w:r>
      <w:r w:rsidR="000B021B" w:rsidRPr="003E7A82">
        <w:rPr>
          <w:rFonts w:ascii="Times New Roman" w:hAnsi="Times New Roman" w:cs="Times New Roman"/>
          <w:iCs/>
          <w:sz w:val="24"/>
          <w:szCs w:val="24"/>
        </w:rPr>
        <w:t xml:space="preserve">las condiciones </w:t>
      </w:r>
      <w:r w:rsidR="000970DE" w:rsidRPr="003E7A82">
        <w:rPr>
          <w:rFonts w:ascii="Times New Roman" w:hAnsi="Times New Roman" w:cs="Times New Roman"/>
          <w:iCs/>
          <w:sz w:val="24"/>
          <w:szCs w:val="24"/>
        </w:rPr>
        <w:t>del entorno o del ciclo económico,</w:t>
      </w:r>
      <w:r w:rsidR="000B021B" w:rsidRPr="003E7A82">
        <w:rPr>
          <w:rFonts w:ascii="Times New Roman" w:hAnsi="Times New Roman" w:cs="Times New Roman"/>
          <w:iCs/>
          <w:sz w:val="24"/>
          <w:szCs w:val="24"/>
        </w:rPr>
        <w:t xml:space="preserve"> limita</w:t>
      </w:r>
      <w:r w:rsidR="000970DE" w:rsidRPr="003E7A82">
        <w:rPr>
          <w:rFonts w:ascii="Times New Roman" w:hAnsi="Times New Roman" w:cs="Times New Roman"/>
          <w:iCs/>
          <w:sz w:val="24"/>
          <w:szCs w:val="24"/>
        </w:rPr>
        <w:t>ndo</w:t>
      </w:r>
      <w:r w:rsidR="000B021B" w:rsidRPr="003E7A82">
        <w:rPr>
          <w:rFonts w:ascii="Times New Roman" w:hAnsi="Times New Roman" w:cs="Times New Roman"/>
          <w:iCs/>
          <w:sz w:val="24"/>
          <w:szCs w:val="24"/>
        </w:rPr>
        <w:t xml:space="preserve"> el crecimiento de sus utilidades, por lo cual es necesario </w:t>
      </w:r>
      <w:r w:rsidR="00333517" w:rsidRPr="003E7A82">
        <w:rPr>
          <w:rFonts w:ascii="Times New Roman" w:hAnsi="Times New Roman" w:cs="Times New Roman"/>
          <w:iCs/>
          <w:sz w:val="24"/>
          <w:szCs w:val="24"/>
        </w:rPr>
        <w:t xml:space="preserve">acudir a la diversificación </w:t>
      </w:r>
      <w:r w:rsidR="00333517" w:rsidRPr="003E7A82">
        <w:rPr>
          <w:rFonts w:ascii="Times New Roman" w:hAnsi="Times New Roman" w:cs="Times New Roman"/>
          <w:iCs/>
          <w:sz w:val="24"/>
          <w:szCs w:val="24"/>
        </w:rPr>
        <w:lastRenderedPageBreak/>
        <w:t xml:space="preserve">que resulta de </w:t>
      </w:r>
      <w:r w:rsidR="009A3788" w:rsidRPr="003E7A82">
        <w:rPr>
          <w:rFonts w:ascii="Times New Roman" w:hAnsi="Times New Roman" w:cs="Times New Roman"/>
          <w:iCs/>
          <w:sz w:val="24"/>
          <w:szCs w:val="24"/>
        </w:rPr>
        <w:t xml:space="preserve">iniciar o </w:t>
      </w:r>
      <w:r w:rsidR="00333517" w:rsidRPr="003E7A82">
        <w:rPr>
          <w:rFonts w:ascii="Times New Roman" w:hAnsi="Times New Roman" w:cs="Times New Roman"/>
          <w:iCs/>
          <w:sz w:val="24"/>
          <w:szCs w:val="24"/>
        </w:rPr>
        <w:t xml:space="preserve">aumentar su presencia </w:t>
      </w:r>
      <w:r w:rsidR="009A3788" w:rsidRPr="003E7A82">
        <w:rPr>
          <w:rFonts w:ascii="Times New Roman" w:hAnsi="Times New Roman" w:cs="Times New Roman"/>
          <w:iCs/>
          <w:sz w:val="24"/>
          <w:szCs w:val="24"/>
        </w:rPr>
        <w:t>en otros</w:t>
      </w:r>
      <w:r w:rsidR="000B021B" w:rsidRPr="003E7A82">
        <w:rPr>
          <w:rFonts w:ascii="Times New Roman" w:hAnsi="Times New Roman" w:cs="Times New Roman"/>
          <w:iCs/>
          <w:sz w:val="24"/>
          <w:szCs w:val="24"/>
        </w:rPr>
        <w:t xml:space="preserve"> mercados (Kojima,</w:t>
      </w:r>
      <w:r w:rsidR="00423BF0" w:rsidRPr="003E7A82">
        <w:rPr>
          <w:rFonts w:ascii="Times New Roman" w:hAnsi="Times New Roman" w:cs="Times New Roman"/>
          <w:iCs/>
          <w:sz w:val="24"/>
          <w:szCs w:val="24"/>
        </w:rPr>
        <w:t xml:space="preserve"> </w:t>
      </w:r>
      <w:r w:rsidR="000B021B" w:rsidRPr="003E7A82">
        <w:rPr>
          <w:rFonts w:ascii="Times New Roman" w:hAnsi="Times New Roman" w:cs="Times New Roman"/>
          <w:iCs/>
          <w:sz w:val="24"/>
          <w:szCs w:val="24"/>
        </w:rPr>
        <w:t>1992</w:t>
      </w:r>
      <w:r w:rsidR="00423BF0" w:rsidRPr="00D02AB1">
        <w:rPr>
          <w:rFonts w:ascii="Times New Roman" w:hAnsi="Times New Roman" w:cs="Times New Roman"/>
          <w:iCs/>
          <w:sz w:val="24"/>
          <w:szCs w:val="24"/>
        </w:rPr>
        <w:t>,</w:t>
      </w:r>
      <w:r w:rsidR="009A3788" w:rsidRPr="00D02AB1">
        <w:rPr>
          <w:rFonts w:ascii="Times New Roman" w:hAnsi="Times New Roman" w:cs="Times New Roman"/>
          <w:iCs/>
          <w:sz w:val="24"/>
          <w:szCs w:val="24"/>
        </w:rPr>
        <w:t xml:space="preserve"> </w:t>
      </w:r>
      <w:r w:rsidR="00423BF0" w:rsidRPr="00D02AB1">
        <w:rPr>
          <w:rFonts w:ascii="Times New Roman" w:hAnsi="Times New Roman" w:cs="Times New Roman"/>
          <w:iCs/>
          <w:sz w:val="24"/>
          <w:szCs w:val="24"/>
        </w:rPr>
        <w:t>como se citó en R</w:t>
      </w:r>
      <w:r w:rsidR="009A3788" w:rsidRPr="00D02AB1">
        <w:rPr>
          <w:rFonts w:ascii="Times New Roman" w:hAnsi="Times New Roman" w:cs="Times New Roman"/>
          <w:iCs/>
          <w:sz w:val="24"/>
          <w:szCs w:val="24"/>
        </w:rPr>
        <w:t>ueda Galavis, 2008</w:t>
      </w:r>
      <w:r w:rsidR="000B021B" w:rsidRPr="00D02AB1">
        <w:rPr>
          <w:rFonts w:ascii="Times New Roman" w:hAnsi="Times New Roman" w:cs="Times New Roman"/>
          <w:iCs/>
          <w:sz w:val="24"/>
          <w:szCs w:val="24"/>
        </w:rPr>
        <w:t xml:space="preserve">). </w:t>
      </w:r>
      <w:r w:rsidR="009A3788" w:rsidRPr="00D02AB1">
        <w:rPr>
          <w:rFonts w:ascii="Times New Roman" w:hAnsi="Times New Roman" w:cs="Times New Roman"/>
          <w:iCs/>
          <w:sz w:val="24"/>
          <w:szCs w:val="24"/>
        </w:rPr>
        <w:t xml:space="preserve">Entonces se vuelve </w:t>
      </w:r>
      <w:r w:rsidR="001335D1" w:rsidRPr="00D02AB1">
        <w:rPr>
          <w:rFonts w:ascii="Times New Roman" w:hAnsi="Times New Roman" w:cs="Times New Roman"/>
          <w:iCs/>
          <w:sz w:val="24"/>
          <w:szCs w:val="24"/>
        </w:rPr>
        <w:t>relevante</w:t>
      </w:r>
      <w:r w:rsidR="000B021B" w:rsidRPr="00D02AB1">
        <w:rPr>
          <w:rFonts w:ascii="Times New Roman" w:hAnsi="Times New Roman" w:cs="Times New Roman"/>
          <w:iCs/>
          <w:sz w:val="24"/>
          <w:szCs w:val="24"/>
        </w:rPr>
        <w:t xml:space="preserve"> </w:t>
      </w:r>
      <w:r w:rsidR="001335D1" w:rsidRPr="00D02AB1">
        <w:rPr>
          <w:rFonts w:ascii="Times New Roman" w:hAnsi="Times New Roman" w:cs="Times New Roman"/>
          <w:iCs/>
          <w:sz w:val="24"/>
          <w:szCs w:val="24"/>
        </w:rPr>
        <w:t>des</w:t>
      </w:r>
      <w:r w:rsidR="001335D1" w:rsidRPr="003E7A82">
        <w:rPr>
          <w:rFonts w:ascii="Times New Roman" w:hAnsi="Times New Roman" w:cs="Times New Roman"/>
          <w:iCs/>
          <w:sz w:val="24"/>
          <w:szCs w:val="24"/>
        </w:rPr>
        <w:t xml:space="preserve">arrollar las </w:t>
      </w:r>
      <w:r w:rsidR="00805093" w:rsidRPr="003E7A82">
        <w:rPr>
          <w:rFonts w:ascii="Times New Roman" w:hAnsi="Times New Roman" w:cs="Times New Roman"/>
          <w:iCs/>
          <w:sz w:val="24"/>
          <w:szCs w:val="24"/>
        </w:rPr>
        <w:t xml:space="preserve">competencias y </w:t>
      </w:r>
      <w:r w:rsidR="001335D1" w:rsidRPr="003E7A82">
        <w:rPr>
          <w:rFonts w:ascii="Times New Roman" w:hAnsi="Times New Roman" w:cs="Times New Roman"/>
          <w:iCs/>
          <w:sz w:val="24"/>
          <w:szCs w:val="24"/>
        </w:rPr>
        <w:t xml:space="preserve">habilidades necesarias para </w:t>
      </w:r>
      <w:r w:rsidR="000B021B" w:rsidRPr="003E7A82">
        <w:rPr>
          <w:rFonts w:ascii="Times New Roman" w:hAnsi="Times New Roman" w:cs="Times New Roman"/>
          <w:iCs/>
          <w:sz w:val="24"/>
          <w:szCs w:val="24"/>
        </w:rPr>
        <w:t>poder seleccionar de manera adecuada el país</w:t>
      </w:r>
      <w:r w:rsidR="007E511D" w:rsidRPr="003E7A82">
        <w:rPr>
          <w:rFonts w:ascii="Times New Roman" w:hAnsi="Times New Roman" w:cs="Times New Roman"/>
          <w:iCs/>
          <w:sz w:val="24"/>
          <w:szCs w:val="24"/>
        </w:rPr>
        <w:t xml:space="preserve"> o la región</w:t>
      </w:r>
      <w:r w:rsidR="000B021B" w:rsidRPr="003E7A82">
        <w:rPr>
          <w:rFonts w:ascii="Times New Roman" w:hAnsi="Times New Roman" w:cs="Times New Roman"/>
          <w:iCs/>
          <w:sz w:val="24"/>
          <w:szCs w:val="24"/>
        </w:rPr>
        <w:t xml:space="preserve"> </w:t>
      </w:r>
      <w:r w:rsidR="00805093" w:rsidRPr="003E7A82">
        <w:rPr>
          <w:rFonts w:ascii="Times New Roman" w:hAnsi="Times New Roman" w:cs="Times New Roman"/>
          <w:iCs/>
          <w:sz w:val="24"/>
          <w:szCs w:val="24"/>
        </w:rPr>
        <w:t xml:space="preserve">objetivo para dicha diversificación, </w:t>
      </w:r>
      <w:r w:rsidR="00C06809" w:rsidRPr="003E7A82">
        <w:rPr>
          <w:rFonts w:ascii="Times New Roman" w:hAnsi="Times New Roman" w:cs="Times New Roman"/>
          <w:iCs/>
          <w:sz w:val="24"/>
          <w:szCs w:val="24"/>
        </w:rPr>
        <w:t>como</w:t>
      </w:r>
      <w:r w:rsidR="00160355" w:rsidRPr="003E7A82">
        <w:rPr>
          <w:rFonts w:ascii="Times New Roman" w:hAnsi="Times New Roman" w:cs="Times New Roman"/>
          <w:iCs/>
          <w:sz w:val="24"/>
          <w:szCs w:val="24"/>
        </w:rPr>
        <w:t xml:space="preserve"> la formación y educación profesional</w:t>
      </w:r>
      <w:r w:rsidR="000E0B37" w:rsidRPr="003E7A82">
        <w:rPr>
          <w:rFonts w:ascii="Times New Roman" w:hAnsi="Times New Roman" w:cs="Times New Roman"/>
          <w:iCs/>
          <w:sz w:val="24"/>
          <w:szCs w:val="24"/>
        </w:rPr>
        <w:t>es</w:t>
      </w:r>
      <w:r w:rsidR="00160355" w:rsidRPr="003E7A82">
        <w:rPr>
          <w:rFonts w:ascii="Times New Roman" w:hAnsi="Times New Roman" w:cs="Times New Roman"/>
          <w:iCs/>
          <w:sz w:val="24"/>
          <w:szCs w:val="24"/>
        </w:rPr>
        <w:t xml:space="preserve"> que </w:t>
      </w:r>
      <w:r w:rsidR="00062B7A" w:rsidRPr="003E7A82">
        <w:rPr>
          <w:rFonts w:ascii="Times New Roman" w:hAnsi="Times New Roman" w:cs="Times New Roman"/>
          <w:iCs/>
          <w:sz w:val="24"/>
          <w:szCs w:val="24"/>
        </w:rPr>
        <w:t>resuelva</w:t>
      </w:r>
      <w:r w:rsidR="00C22797" w:rsidRPr="003E7A82">
        <w:rPr>
          <w:rFonts w:ascii="Times New Roman" w:hAnsi="Times New Roman" w:cs="Times New Roman"/>
          <w:iCs/>
          <w:sz w:val="24"/>
          <w:szCs w:val="24"/>
        </w:rPr>
        <w:t>n</w:t>
      </w:r>
      <w:r w:rsidR="00062B7A" w:rsidRPr="003E7A82">
        <w:rPr>
          <w:rFonts w:ascii="Times New Roman" w:hAnsi="Times New Roman" w:cs="Times New Roman"/>
          <w:iCs/>
          <w:sz w:val="24"/>
          <w:szCs w:val="24"/>
        </w:rPr>
        <w:t xml:space="preserve"> </w:t>
      </w:r>
      <w:r w:rsidR="00125B8B" w:rsidRPr="003E7A82">
        <w:rPr>
          <w:rFonts w:ascii="Times New Roman" w:hAnsi="Times New Roman" w:cs="Times New Roman"/>
          <w:iCs/>
          <w:sz w:val="24"/>
          <w:szCs w:val="24"/>
        </w:rPr>
        <w:t>“</w:t>
      </w:r>
      <w:r w:rsidR="000D6A30" w:rsidRPr="003E7A82">
        <w:rPr>
          <w:rFonts w:ascii="Times New Roman" w:hAnsi="Times New Roman" w:cs="Times New Roman"/>
          <w:iCs/>
          <w:sz w:val="24"/>
          <w:szCs w:val="24"/>
        </w:rPr>
        <w:t>los aspectos técnicos, económicos, culturales y sociales del entorno</w:t>
      </w:r>
      <w:r w:rsidR="00125B8B" w:rsidRPr="003E7A82">
        <w:rPr>
          <w:rFonts w:ascii="Times New Roman" w:hAnsi="Times New Roman" w:cs="Times New Roman"/>
          <w:iCs/>
          <w:sz w:val="24"/>
          <w:szCs w:val="24"/>
        </w:rPr>
        <w:t>”</w:t>
      </w:r>
      <w:r w:rsidR="00117A45" w:rsidRPr="003E7A82">
        <w:rPr>
          <w:rFonts w:ascii="Times New Roman" w:hAnsi="Times New Roman" w:cs="Times New Roman"/>
          <w:iCs/>
          <w:sz w:val="24"/>
          <w:szCs w:val="24"/>
        </w:rPr>
        <w:t xml:space="preserve"> (Rueda Galavis, 2008</w:t>
      </w:r>
      <w:r w:rsidR="00551E8E" w:rsidRPr="003E7A82">
        <w:rPr>
          <w:rFonts w:ascii="Times New Roman" w:hAnsi="Times New Roman" w:cs="Times New Roman"/>
          <w:iCs/>
          <w:sz w:val="24"/>
          <w:szCs w:val="24"/>
        </w:rPr>
        <w:t>,</w:t>
      </w:r>
      <w:r w:rsidR="00117A45" w:rsidRPr="003E7A82">
        <w:rPr>
          <w:rFonts w:ascii="Times New Roman" w:hAnsi="Times New Roman" w:cs="Times New Roman"/>
          <w:iCs/>
          <w:sz w:val="24"/>
          <w:szCs w:val="24"/>
        </w:rPr>
        <w:t xml:space="preserve"> p.</w:t>
      </w:r>
      <w:r w:rsidR="00551E8E" w:rsidRPr="003E7A82">
        <w:rPr>
          <w:rFonts w:ascii="Times New Roman" w:hAnsi="Times New Roman" w:cs="Times New Roman"/>
          <w:iCs/>
          <w:sz w:val="24"/>
          <w:szCs w:val="24"/>
        </w:rPr>
        <w:t xml:space="preserve"> </w:t>
      </w:r>
      <w:r w:rsidR="00117A45" w:rsidRPr="003E7A82">
        <w:rPr>
          <w:rFonts w:ascii="Times New Roman" w:hAnsi="Times New Roman" w:cs="Times New Roman"/>
          <w:iCs/>
          <w:sz w:val="24"/>
          <w:szCs w:val="24"/>
        </w:rPr>
        <w:t>53)</w:t>
      </w:r>
      <w:r w:rsidR="000B021B" w:rsidRPr="003E7A82">
        <w:rPr>
          <w:rFonts w:ascii="Times New Roman" w:hAnsi="Times New Roman" w:cs="Times New Roman"/>
          <w:iCs/>
          <w:sz w:val="24"/>
          <w:szCs w:val="24"/>
        </w:rPr>
        <w:t>.</w:t>
      </w:r>
    </w:p>
    <w:p w14:paraId="73397E7B" w14:textId="4FBF3F0A" w:rsidR="006367FF" w:rsidRPr="003E7A82" w:rsidRDefault="005A1493" w:rsidP="00E77F98">
      <w:pPr>
        <w:tabs>
          <w:tab w:val="left" w:pos="284"/>
        </w:tabs>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De esta manera </w:t>
      </w:r>
      <w:r w:rsidR="00125B8B" w:rsidRPr="003E7A82">
        <w:rPr>
          <w:rFonts w:ascii="Times New Roman" w:hAnsi="Times New Roman" w:cs="Times New Roman"/>
          <w:iCs/>
          <w:sz w:val="24"/>
          <w:szCs w:val="24"/>
        </w:rPr>
        <w:t>“</w:t>
      </w:r>
      <w:r w:rsidR="000B021B" w:rsidRPr="003E7A82">
        <w:rPr>
          <w:rFonts w:ascii="Times New Roman" w:hAnsi="Times New Roman" w:cs="Times New Roman"/>
          <w:iCs/>
          <w:sz w:val="24"/>
          <w:szCs w:val="24"/>
        </w:rPr>
        <w:t>los riesgos asociados al</w:t>
      </w:r>
      <w:r w:rsidR="007E511D" w:rsidRPr="003E7A82">
        <w:rPr>
          <w:rFonts w:ascii="Times New Roman" w:hAnsi="Times New Roman" w:cs="Times New Roman"/>
          <w:iCs/>
          <w:sz w:val="24"/>
          <w:szCs w:val="24"/>
        </w:rPr>
        <w:t xml:space="preserve"> </w:t>
      </w:r>
      <w:r w:rsidR="000B021B" w:rsidRPr="003E7A82">
        <w:rPr>
          <w:rFonts w:ascii="Times New Roman" w:hAnsi="Times New Roman" w:cs="Times New Roman"/>
          <w:iCs/>
          <w:sz w:val="24"/>
          <w:szCs w:val="24"/>
        </w:rPr>
        <w:t>proceso de internacionalización de las organizaciones suelen ser los mismos para cualquier</w:t>
      </w:r>
      <w:r w:rsidR="00CB6362" w:rsidRPr="003E7A82">
        <w:rPr>
          <w:rFonts w:ascii="Times New Roman" w:hAnsi="Times New Roman" w:cs="Times New Roman"/>
          <w:iCs/>
          <w:sz w:val="24"/>
          <w:szCs w:val="24"/>
        </w:rPr>
        <w:t xml:space="preserve"> </w:t>
      </w:r>
      <w:r w:rsidR="000B021B" w:rsidRPr="003E7A82">
        <w:rPr>
          <w:rFonts w:ascii="Times New Roman" w:hAnsi="Times New Roman" w:cs="Times New Roman"/>
          <w:iCs/>
          <w:sz w:val="24"/>
          <w:szCs w:val="24"/>
        </w:rPr>
        <w:t>tipo de empresa en el mundo, y están asociados</w:t>
      </w:r>
      <w:r w:rsidR="00CB6362" w:rsidRPr="003E7A82">
        <w:rPr>
          <w:rFonts w:ascii="Times New Roman" w:hAnsi="Times New Roman" w:cs="Times New Roman"/>
          <w:iCs/>
          <w:sz w:val="24"/>
          <w:szCs w:val="24"/>
        </w:rPr>
        <w:t xml:space="preserve"> </w:t>
      </w:r>
      <w:r w:rsidR="000B021B" w:rsidRPr="003E7A82">
        <w:rPr>
          <w:rFonts w:ascii="Times New Roman" w:hAnsi="Times New Roman" w:cs="Times New Roman"/>
          <w:iCs/>
          <w:sz w:val="24"/>
          <w:szCs w:val="24"/>
        </w:rPr>
        <w:t>casi siempre con la ausencia o limitada información de los mercados extranjeros</w:t>
      </w:r>
      <w:r w:rsidR="00125B8B"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(Galván Sánchez,</w:t>
      </w:r>
      <w:r w:rsidR="002D50AA"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2003, p.</w:t>
      </w:r>
      <w:r w:rsidR="00551E8E"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53)</w:t>
      </w:r>
      <w:r w:rsidR="000B021B" w:rsidRPr="003E7A82">
        <w:rPr>
          <w:rFonts w:ascii="Times New Roman" w:hAnsi="Times New Roman" w:cs="Times New Roman"/>
          <w:iCs/>
          <w:sz w:val="24"/>
          <w:szCs w:val="24"/>
        </w:rPr>
        <w:t>.</w:t>
      </w:r>
      <w:r w:rsidR="004802A7" w:rsidRPr="003E7A82">
        <w:rPr>
          <w:rFonts w:ascii="Times New Roman" w:hAnsi="Times New Roman" w:cs="Times New Roman"/>
          <w:iCs/>
          <w:sz w:val="24"/>
          <w:szCs w:val="24"/>
        </w:rPr>
        <w:t xml:space="preserve"> </w:t>
      </w:r>
    </w:p>
    <w:p w14:paraId="5492D28C" w14:textId="6881479C" w:rsidR="006747CE" w:rsidRPr="003E7A82" w:rsidRDefault="006367FF" w:rsidP="00E77F98">
      <w:pPr>
        <w:tabs>
          <w:tab w:val="left" w:pos="284"/>
        </w:tabs>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E</w:t>
      </w:r>
      <w:r w:rsidR="00243545" w:rsidRPr="003E7A82">
        <w:rPr>
          <w:rFonts w:ascii="Times New Roman" w:hAnsi="Times New Roman" w:cs="Times New Roman"/>
          <w:iCs/>
          <w:sz w:val="24"/>
          <w:szCs w:val="24"/>
        </w:rPr>
        <w:t>sto se debe a que e</w:t>
      </w:r>
      <w:r w:rsidR="004802A7" w:rsidRPr="003E7A82">
        <w:rPr>
          <w:rFonts w:ascii="Times New Roman" w:hAnsi="Times New Roman" w:cs="Times New Roman"/>
          <w:iCs/>
          <w:sz w:val="24"/>
          <w:szCs w:val="24"/>
        </w:rPr>
        <w:t xml:space="preserve">l dominio del saber </w:t>
      </w:r>
      <w:r w:rsidR="005A1FC7" w:rsidRPr="003E7A82">
        <w:rPr>
          <w:rFonts w:ascii="Times New Roman" w:hAnsi="Times New Roman" w:cs="Times New Roman"/>
          <w:iCs/>
          <w:sz w:val="24"/>
          <w:szCs w:val="24"/>
        </w:rPr>
        <w:t>representa ahora u</w:t>
      </w:r>
      <w:r w:rsidR="004802A7" w:rsidRPr="003E7A82">
        <w:rPr>
          <w:rFonts w:ascii="Times New Roman" w:hAnsi="Times New Roman" w:cs="Times New Roman"/>
          <w:iCs/>
          <w:sz w:val="24"/>
          <w:szCs w:val="24"/>
        </w:rPr>
        <w:t>n factor relevante</w:t>
      </w:r>
      <w:r w:rsidRPr="003E7A82">
        <w:rPr>
          <w:rFonts w:ascii="Times New Roman" w:hAnsi="Times New Roman" w:cs="Times New Roman"/>
          <w:iCs/>
          <w:sz w:val="24"/>
          <w:szCs w:val="24"/>
        </w:rPr>
        <w:t xml:space="preserve"> </w:t>
      </w:r>
      <w:r w:rsidR="004802A7" w:rsidRPr="003E7A82">
        <w:rPr>
          <w:rFonts w:ascii="Times New Roman" w:hAnsi="Times New Roman" w:cs="Times New Roman"/>
          <w:iCs/>
          <w:sz w:val="24"/>
          <w:szCs w:val="24"/>
        </w:rPr>
        <w:t>del desarrollo</w:t>
      </w:r>
      <w:r w:rsidR="005A1FC7" w:rsidRPr="003E7A82">
        <w:rPr>
          <w:rFonts w:ascii="Times New Roman" w:hAnsi="Times New Roman" w:cs="Times New Roman"/>
          <w:iCs/>
          <w:sz w:val="24"/>
          <w:szCs w:val="24"/>
        </w:rPr>
        <w:t xml:space="preserve"> y</w:t>
      </w:r>
      <w:r w:rsidR="004802A7" w:rsidRPr="003E7A82">
        <w:rPr>
          <w:rFonts w:ascii="Times New Roman" w:hAnsi="Times New Roman" w:cs="Times New Roman"/>
          <w:iCs/>
          <w:sz w:val="24"/>
          <w:szCs w:val="24"/>
        </w:rPr>
        <w:t xml:space="preserve">  la sociedad </w:t>
      </w:r>
      <w:r w:rsidR="005A1FC7" w:rsidRPr="003E7A82">
        <w:rPr>
          <w:rFonts w:ascii="Times New Roman" w:hAnsi="Times New Roman" w:cs="Times New Roman"/>
          <w:iCs/>
          <w:sz w:val="24"/>
          <w:szCs w:val="24"/>
        </w:rPr>
        <w:t xml:space="preserve">transita a </w:t>
      </w:r>
      <w:r w:rsidR="004802A7" w:rsidRPr="003E7A82">
        <w:rPr>
          <w:rFonts w:ascii="Times New Roman" w:hAnsi="Times New Roman" w:cs="Times New Roman"/>
          <w:iCs/>
          <w:sz w:val="24"/>
          <w:szCs w:val="24"/>
        </w:rPr>
        <w:t>una etapa</w:t>
      </w:r>
      <w:r w:rsidRPr="003E7A82">
        <w:rPr>
          <w:rFonts w:ascii="Times New Roman" w:hAnsi="Times New Roman" w:cs="Times New Roman"/>
          <w:iCs/>
          <w:sz w:val="24"/>
          <w:szCs w:val="24"/>
        </w:rPr>
        <w:t xml:space="preserve"> </w:t>
      </w:r>
      <w:r w:rsidR="004802A7" w:rsidRPr="003E7A82">
        <w:rPr>
          <w:rFonts w:ascii="Times New Roman" w:hAnsi="Times New Roman" w:cs="Times New Roman"/>
          <w:iCs/>
          <w:sz w:val="24"/>
          <w:szCs w:val="24"/>
        </w:rPr>
        <w:t>basada en el conocimiento, ofrec</w:t>
      </w:r>
      <w:r w:rsidR="005A1FC7" w:rsidRPr="003E7A82">
        <w:rPr>
          <w:rFonts w:ascii="Times New Roman" w:hAnsi="Times New Roman" w:cs="Times New Roman"/>
          <w:iCs/>
          <w:sz w:val="24"/>
          <w:szCs w:val="24"/>
        </w:rPr>
        <w:t>iendo</w:t>
      </w:r>
      <w:r w:rsidR="004802A7" w:rsidRPr="003E7A82">
        <w:rPr>
          <w:rFonts w:ascii="Times New Roman" w:hAnsi="Times New Roman" w:cs="Times New Roman"/>
          <w:iCs/>
          <w:sz w:val="24"/>
          <w:szCs w:val="24"/>
        </w:rPr>
        <w:t xml:space="preserve"> </w:t>
      </w:r>
      <w:r w:rsidR="00D02AB1">
        <w:rPr>
          <w:rFonts w:ascii="Times New Roman" w:hAnsi="Times New Roman" w:cs="Times New Roman"/>
          <w:iCs/>
          <w:sz w:val="24"/>
          <w:szCs w:val="24"/>
        </w:rPr>
        <w:t>“</w:t>
      </w:r>
      <w:r w:rsidR="004802A7" w:rsidRPr="003E7A82">
        <w:rPr>
          <w:rFonts w:ascii="Times New Roman" w:hAnsi="Times New Roman" w:cs="Times New Roman"/>
          <w:iCs/>
          <w:sz w:val="24"/>
          <w:szCs w:val="24"/>
        </w:rPr>
        <w:t>nuevos horizontes a las instituciones educativas de nivel superior tanto en su papel de formadoras de la planta de</w:t>
      </w:r>
      <w:r w:rsidRPr="003E7A82">
        <w:rPr>
          <w:rFonts w:ascii="Times New Roman" w:hAnsi="Times New Roman" w:cs="Times New Roman"/>
          <w:iCs/>
          <w:sz w:val="24"/>
          <w:szCs w:val="24"/>
        </w:rPr>
        <w:t xml:space="preserve"> </w:t>
      </w:r>
      <w:r w:rsidR="004802A7" w:rsidRPr="003E7A82">
        <w:rPr>
          <w:rFonts w:ascii="Times New Roman" w:hAnsi="Times New Roman" w:cs="Times New Roman"/>
          <w:iCs/>
          <w:sz w:val="24"/>
          <w:szCs w:val="24"/>
        </w:rPr>
        <w:t>profesionistas, investigadores y técnicos especializados, como en su contribución a la generación, aplicación y transferencia de conocimientos; procesos fundamentales en el desarrollo económico de un país</w:t>
      </w:r>
      <w:r w:rsidR="00CE0131">
        <w:rPr>
          <w:rFonts w:ascii="Times New Roman" w:hAnsi="Times New Roman" w:cs="Times New Roman"/>
          <w:iCs/>
          <w:sz w:val="24"/>
          <w:szCs w:val="24"/>
        </w:rPr>
        <w:t>”</w:t>
      </w:r>
      <w:r w:rsidR="004802A7" w:rsidRPr="003E7A82">
        <w:rPr>
          <w:rFonts w:ascii="Times New Roman" w:hAnsi="Times New Roman" w:cs="Times New Roman"/>
          <w:iCs/>
          <w:sz w:val="24"/>
          <w:szCs w:val="24"/>
        </w:rPr>
        <w:t xml:space="preserve"> (Banco Mundial,</w:t>
      </w:r>
      <w:r w:rsidR="00423BF0" w:rsidRPr="003E7A82">
        <w:rPr>
          <w:rFonts w:ascii="Times New Roman" w:hAnsi="Times New Roman" w:cs="Times New Roman"/>
          <w:iCs/>
          <w:sz w:val="24"/>
          <w:szCs w:val="24"/>
        </w:rPr>
        <w:t xml:space="preserve"> </w:t>
      </w:r>
      <w:r w:rsidR="004802A7" w:rsidRPr="003E7A82">
        <w:rPr>
          <w:rFonts w:ascii="Times New Roman" w:hAnsi="Times New Roman" w:cs="Times New Roman"/>
          <w:iCs/>
          <w:sz w:val="24"/>
          <w:szCs w:val="24"/>
        </w:rPr>
        <w:t>1995</w:t>
      </w:r>
      <w:r w:rsidR="00423BF0" w:rsidRPr="00D02AB1">
        <w:rPr>
          <w:rFonts w:ascii="Times New Roman" w:hAnsi="Times New Roman" w:cs="Times New Roman"/>
          <w:iCs/>
          <w:sz w:val="24"/>
          <w:szCs w:val="24"/>
        </w:rPr>
        <w:t>,</w:t>
      </w:r>
      <w:r w:rsidR="0099259C" w:rsidRPr="003E7A82">
        <w:rPr>
          <w:rFonts w:ascii="Times New Roman" w:hAnsi="Times New Roman" w:cs="Times New Roman"/>
          <w:iCs/>
          <w:sz w:val="24"/>
          <w:szCs w:val="24"/>
        </w:rPr>
        <w:t xml:space="preserve"> </w:t>
      </w:r>
      <w:r w:rsidR="00423BF0" w:rsidRPr="00D02AB1">
        <w:rPr>
          <w:rFonts w:ascii="Times New Roman" w:hAnsi="Times New Roman" w:cs="Times New Roman"/>
          <w:iCs/>
          <w:sz w:val="24"/>
          <w:szCs w:val="24"/>
        </w:rPr>
        <w:t>como se citó</w:t>
      </w:r>
      <w:r w:rsidR="0099259C" w:rsidRPr="003E7A82">
        <w:rPr>
          <w:rFonts w:ascii="Times New Roman" w:hAnsi="Times New Roman" w:cs="Times New Roman"/>
          <w:iCs/>
          <w:sz w:val="24"/>
          <w:szCs w:val="24"/>
        </w:rPr>
        <w:t xml:space="preserve"> en Camarena y Velarde, 2009, p.</w:t>
      </w:r>
      <w:r w:rsidR="00551E8E" w:rsidRPr="003E7A82">
        <w:rPr>
          <w:rFonts w:ascii="Times New Roman" w:hAnsi="Times New Roman" w:cs="Times New Roman"/>
          <w:iCs/>
          <w:sz w:val="24"/>
          <w:szCs w:val="24"/>
        </w:rPr>
        <w:t xml:space="preserve"> </w:t>
      </w:r>
      <w:r w:rsidR="0099259C" w:rsidRPr="003E7A82">
        <w:rPr>
          <w:rFonts w:ascii="Times New Roman" w:hAnsi="Times New Roman" w:cs="Times New Roman"/>
          <w:iCs/>
          <w:sz w:val="24"/>
          <w:szCs w:val="24"/>
        </w:rPr>
        <w:t>109</w:t>
      </w:r>
      <w:r w:rsidR="004802A7" w:rsidRPr="003E7A82">
        <w:rPr>
          <w:rFonts w:ascii="Times New Roman" w:hAnsi="Times New Roman" w:cs="Times New Roman"/>
          <w:iCs/>
          <w:sz w:val="24"/>
          <w:szCs w:val="24"/>
        </w:rPr>
        <w:t>).</w:t>
      </w:r>
      <w:r w:rsidR="00BD5B06" w:rsidRPr="003E7A82">
        <w:rPr>
          <w:rFonts w:ascii="Times New Roman" w:hAnsi="Times New Roman" w:cs="Times New Roman"/>
          <w:iCs/>
          <w:sz w:val="24"/>
          <w:szCs w:val="24"/>
        </w:rPr>
        <w:t xml:space="preserve"> Así la carencia del conocimiento o de </w:t>
      </w:r>
      <w:r w:rsidR="002D1F9A" w:rsidRPr="003E7A82">
        <w:rPr>
          <w:rFonts w:ascii="Times New Roman" w:hAnsi="Times New Roman" w:cs="Times New Roman"/>
          <w:iCs/>
          <w:sz w:val="24"/>
          <w:szCs w:val="24"/>
        </w:rPr>
        <w:t>su</w:t>
      </w:r>
      <w:r w:rsidR="00BD5B06" w:rsidRPr="003E7A82">
        <w:rPr>
          <w:rFonts w:ascii="Times New Roman" w:hAnsi="Times New Roman" w:cs="Times New Roman"/>
          <w:iCs/>
          <w:sz w:val="24"/>
          <w:szCs w:val="24"/>
        </w:rPr>
        <w:t xml:space="preserve"> actualización representa un riesgo crítico para </w:t>
      </w:r>
      <w:r w:rsidR="002F401D" w:rsidRPr="003E7A82">
        <w:rPr>
          <w:rFonts w:ascii="Times New Roman" w:hAnsi="Times New Roman" w:cs="Times New Roman"/>
          <w:iCs/>
          <w:sz w:val="24"/>
          <w:szCs w:val="24"/>
        </w:rPr>
        <w:t>aten</w:t>
      </w:r>
      <w:r w:rsidR="00AC4FDA" w:rsidRPr="003E7A82">
        <w:rPr>
          <w:rFonts w:ascii="Times New Roman" w:hAnsi="Times New Roman" w:cs="Times New Roman"/>
          <w:iCs/>
          <w:sz w:val="24"/>
          <w:szCs w:val="24"/>
        </w:rPr>
        <w:t xml:space="preserve">ción </w:t>
      </w:r>
      <w:r w:rsidR="002F401D" w:rsidRPr="003E7A82">
        <w:rPr>
          <w:rFonts w:ascii="Times New Roman" w:hAnsi="Times New Roman" w:cs="Times New Roman"/>
          <w:iCs/>
          <w:sz w:val="24"/>
          <w:szCs w:val="24"/>
        </w:rPr>
        <w:t>d</w:t>
      </w:r>
      <w:r w:rsidR="007E4E17" w:rsidRPr="003E7A82">
        <w:rPr>
          <w:rFonts w:ascii="Times New Roman" w:hAnsi="Times New Roman" w:cs="Times New Roman"/>
          <w:iCs/>
          <w:sz w:val="24"/>
          <w:szCs w:val="24"/>
        </w:rPr>
        <w:t>el</w:t>
      </w:r>
      <w:r w:rsidR="002F401D" w:rsidRPr="003E7A82">
        <w:rPr>
          <w:rFonts w:ascii="Times New Roman" w:hAnsi="Times New Roman" w:cs="Times New Roman"/>
          <w:iCs/>
          <w:sz w:val="24"/>
          <w:szCs w:val="24"/>
        </w:rPr>
        <w:t xml:space="preserve"> compromiso social</w:t>
      </w:r>
      <w:r w:rsidR="007E4E17" w:rsidRPr="003E7A82">
        <w:rPr>
          <w:rFonts w:ascii="Times New Roman" w:hAnsi="Times New Roman" w:cs="Times New Roman"/>
          <w:iCs/>
          <w:sz w:val="24"/>
          <w:szCs w:val="24"/>
        </w:rPr>
        <w:t xml:space="preserve"> de la educación superior</w:t>
      </w:r>
      <w:r w:rsidR="00C93DA9" w:rsidRPr="003E7A82">
        <w:rPr>
          <w:rFonts w:ascii="Times New Roman" w:hAnsi="Times New Roman" w:cs="Times New Roman"/>
          <w:iCs/>
          <w:sz w:val="24"/>
          <w:szCs w:val="24"/>
        </w:rPr>
        <w:t>.</w:t>
      </w:r>
      <w:r w:rsidR="004D20D8" w:rsidRPr="003E7A82">
        <w:rPr>
          <w:rFonts w:ascii="Times New Roman" w:hAnsi="Times New Roman" w:cs="Times New Roman"/>
          <w:iCs/>
          <w:sz w:val="24"/>
          <w:szCs w:val="24"/>
        </w:rPr>
        <w:t xml:space="preserve"> </w:t>
      </w:r>
      <w:r w:rsidR="00C93DA9" w:rsidRPr="003E7A82">
        <w:rPr>
          <w:rFonts w:ascii="Times New Roman" w:hAnsi="Times New Roman" w:cs="Times New Roman"/>
          <w:iCs/>
          <w:sz w:val="24"/>
          <w:szCs w:val="24"/>
        </w:rPr>
        <w:t xml:space="preserve">Así </w:t>
      </w:r>
      <w:r w:rsidR="00391D55" w:rsidRPr="003E7A82">
        <w:rPr>
          <w:rFonts w:ascii="Times New Roman" w:hAnsi="Times New Roman" w:cs="Times New Roman"/>
          <w:iCs/>
          <w:sz w:val="24"/>
          <w:szCs w:val="24"/>
        </w:rPr>
        <w:t xml:space="preserve">Camarena y Velarde </w:t>
      </w:r>
      <w:r w:rsidR="00A35F2A" w:rsidRPr="003E7A82">
        <w:rPr>
          <w:rFonts w:ascii="Times New Roman" w:hAnsi="Times New Roman" w:cs="Times New Roman"/>
          <w:iCs/>
          <w:sz w:val="24"/>
          <w:szCs w:val="24"/>
        </w:rPr>
        <w:t>identifican</w:t>
      </w:r>
      <w:r w:rsidR="00391D55" w:rsidRPr="003E7A82">
        <w:rPr>
          <w:rFonts w:ascii="Times New Roman" w:hAnsi="Times New Roman" w:cs="Times New Roman"/>
          <w:iCs/>
          <w:sz w:val="24"/>
          <w:szCs w:val="24"/>
        </w:rPr>
        <w:t xml:space="preserve"> tres aspectos p</w:t>
      </w:r>
      <w:r w:rsidR="00725E01" w:rsidRPr="003E7A82">
        <w:rPr>
          <w:rFonts w:ascii="Times New Roman" w:hAnsi="Times New Roman" w:cs="Times New Roman"/>
          <w:iCs/>
          <w:sz w:val="24"/>
          <w:szCs w:val="24"/>
        </w:rPr>
        <w:t xml:space="preserve">ara </w:t>
      </w:r>
      <w:r w:rsidR="00A35F2A" w:rsidRPr="003E7A82">
        <w:rPr>
          <w:rFonts w:ascii="Times New Roman" w:hAnsi="Times New Roman" w:cs="Times New Roman"/>
          <w:iCs/>
          <w:sz w:val="24"/>
          <w:szCs w:val="24"/>
        </w:rPr>
        <w:t xml:space="preserve">que </w:t>
      </w:r>
      <w:r w:rsidR="00725E01" w:rsidRPr="003E7A82">
        <w:rPr>
          <w:rFonts w:ascii="Times New Roman" w:hAnsi="Times New Roman" w:cs="Times New Roman"/>
          <w:iCs/>
          <w:sz w:val="24"/>
          <w:szCs w:val="24"/>
        </w:rPr>
        <w:t>la educación superior</w:t>
      </w:r>
      <w:r w:rsidR="000926AF" w:rsidRPr="003E7A82">
        <w:rPr>
          <w:rFonts w:ascii="Times New Roman" w:hAnsi="Times New Roman" w:cs="Times New Roman"/>
          <w:iCs/>
          <w:sz w:val="24"/>
          <w:szCs w:val="24"/>
        </w:rPr>
        <w:t xml:space="preserve"> </w:t>
      </w:r>
      <w:r w:rsidR="00AA761E" w:rsidRPr="003E7A82">
        <w:rPr>
          <w:rFonts w:ascii="Times New Roman" w:hAnsi="Times New Roman" w:cs="Times New Roman"/>
          <w:iCs/>
          <w:sz w:val="24"/>
          <w:szCs w:val="24"/>
        </w:rPr>
        <w:t>sea pertinente para la sociedad</w:t>
      </w:r>
      <w:r w:rsidR="00BC0ACC" w:rsidRPr="003E7A82">
        <w:rPr>
          <w:rFonts w:ascii="Times New Roman" w:hAnsi="Times New Roman" w:cs="Times New Roman"/>
          <w:iCs/>
          <w:sz w:val="24"/>
          <w:szCs w:val="24"/>
        </w:rPr>
        <w:t>:</w:t>
      </w:r>
    </w:p>
    <w:p w14:paraId="71AF71F2" w14:textId="6011CC1A" w:rsidR="006747CE" w:rsidRPr="003E7A82" w:rsidRDefault="008A71A2" w:rsidP="00E77F98">
      <w:pPr>
        <w:pStyle w:val="Prrafodelista"/>
        <w:numPr>
          <w:ilvl w:val="0"/>
          <w:numId w:val="7"/>
        </w:num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E</w:t>
      </w:r>
      <w:r w:rsidR="00725E01" w:rsidRPr="003E7A82">
        <w:rPr>
          <w:rFonts w:ascii="Times New Roman" w:hAnsi="Times New Roman" w:cs="Times New Roman"/>
          <w:sz w:val="24"/>
          <w:szCs w:val="24"/>
        </w:rPr>
        <w:t>l papel estratégico que desempeñan las instituciones educativas de</w:t>
      </w:r>
      <w:r w:rsidR="00AA761E" w:rsidRPr="003E7A82">
        <w:rPr>
          <w:rFonts w:ascii="Times New Roman" w:hAnsi="Times New Roman" w:cs="Times New Roman"/>
          <w:sz w:val="24"/>
          <w:szCs w:val="24"/>
        </w:rPr>
        <w:t xml:space="preserve"> </w:t>
      </w:r>
      <w:r w:rsidR="00725E01" w:rsidRPr="003E7A82">
        <w:rPr>
          <w:rFonts w:ascii="Times New Roman" w:hAnsi="Times New Roman" w:cs="Times New Roman"/>
          <w:sz w:val="24"/>
          <w:szCs w:val="24"/>
        </w:rPr>
        <w:t xml:space="preserve">nivel superior; </w:t>
      </w:r>
    </w:p>
    <w:p w14:paraId="4A828971" w14:textId="4F6EFFA4" w:rsidR="008A71A2" w:rsidRPr="003E7A82" w:rsidRDefault="008A71A2" w:rsidP="00E77F98">
      <w:pPr>
        <w:pStyle w:val="Prrafodelista"/>
        <w:numPr>
          <w:ilvl w:val="0"/>
          <w:numId w:val="7"/>
        </w:num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L</w:t>
      </w:r>
      <w:r w:rsidR="00725E01" w:rsidRPr="003E7A82">
        <w:rPr>
          <w:rFonts w:ascii="Times New Roman" w:hAnsi="Times New Roman" w:cs="Times New Roman"/>
          <w:sz w:val="24"/>
          <w:szCs w:val="24"/>
        </w:rPr>
        <w:t>a capacidad de estos centros para formar profesionistas</w:t>
      </w:r>
      <w:r w:rsidR="00AA761E" w:rsidRPr="003E7A82">
        <w:rPr>
          <w:rFonts w:ascii="Times New Roman" w:hAnsi="Times New Roman" w:cs="Times New Roman"/>
          <w:sz w:val="24"/>
          <w:szCs w:val="24"/>
        </w:rPr>
        <w:t xml:space="preserve"> </w:t>
      </w:r>
      <w:r w:rsidR="00725E01" w:rsidRPr="003E7A82">
        <w:rPr>
          <w:rFonts w:ascii="Times New Roman" w:hAnsi="Times New Roman" w:cs="Times New Roman"/>
          <w:sz w:val="24"/>
          <w:szCs w:val="24"/>
        </w:rPr>
        <w:t>con las competencias y conocimientos requeridos por el mercado laboral; y</w:t>
      </w:r>
      <w:r w:rsidR="00D93BE9" w:rsidRPr="003E7A82">
        <w:rPr>
          <w:rFonts w:ascii="Times New Roman" w:hAnsi="Times New Roman" w:cs="Times New Roman"/>
          <w:sz w:val="24"/>
          <w:szCs w:val="24"/>
        </w:rPr>
        <w:t xml:space="preserve"> </w:t>
      </w:r>
    </w:p>
    <w:p w14:paraId="31017BB2" w14:textId="091C4104" w:rsidR="00AD457F" w:rsidRPr="00D02AB1" w:rsidRDefault="00836A88" w:rsidP="00E77F98">
      <w:pPr>
        <w:pStyle w:val="Prrafodelista"/>
        <w:numPr>
          <w:ilvl w:val="0"/>
          <w:numId w:val="7"/>
        </w:numPr>
        <w:tabs>
          <w:tab w:val="left" w:pos="284"/>
        </w:tabs>
        <w:spacing w:before="40" w:after="40" w:line="360" w:lineRule="auto"/>
        <w:jc w:val="both"/>
        <w:rPr>
          <w:rFonts w:ascii="Times New Roman" w:hAnsi="Times New Roman" w:cs="Times New Roman"/>
          <w:iCs/>
          <w:sz w:val="24"/>
          <w:szCs w:val="24"/>
        </w:rPr>
      </w:pPr>
      <w:r w:rsidRPr="00D02AB1">
        <w:rPr>
          <w:rFonts w:ascii="Times New Roman" w:hAnsi="Times New Roman" w:cs="Times New Roman"/>
          <w:sz w:val="24"/>
          <w:szCs w:val="24"/>
        </w:rPr>
        <w:t>L</w:t>
      </w:r>
      <w:r w:rsidR="00725E01" w:rsidRPr="00D02AB1">
        <w:rPr>
          <w:rFonts w:ascii="Times New Roman" w:hAnsi="Times New Roman" w:cs="Times New Roman"/>
          <w:sz w:val="24"/>
          <w:szCs w:val="24"/>
        </w:rPr>
        <w:t>a evolución que presenta la estructura del mercado laboral y su relación</w:t>
      </w:r>
      <w:r w:rsidR="00D93BE9" w:rsidRPr="00D02AB1">
        <w:rPr>
          <w:rFonts w:ascii="Times New Roman" w:hAnsi="Times New Roman" w:cs="Times New Roman"/>
          <w:sz w:val="24"/>
          <w:szCs w:val="24"/>
        </w:rPr>
        <w:t xml:space="preserve"> </w:t>
      </w:r>
      <w:r w:rsidR="00725E01" w:rsidRPr="00D02AB1">
        <w:rPr>
          <w:rFonts w:ascii="Times New Roman" w:hAnsi="Times New Roman" w:cs="Times New Roman"/>
          <w:sz w:val="24"/>
          <w:szCs w:val="24"/>
        </w:rPr>
        <w:t>con la composición de la matrícula</w:t>
      </w:r>
      <w:r w:rsidR="00725E01" w:rsidRPr="00D02AB1">
        <w:rPr>
          <w:rFonts w:ascii="Times New Roman" w:hAnsi="Times New Roman" w:cs="Times New Roman"/>
          <w:iCs/>
          <w:sz w:val="24"/>
          <w:szCs w:val="24"/>
        </w:rPr>
        <w:t xml:space="preserve"> a nivel superior en los últimos años</w:t>
      </w:r>
      <w:r w:rsidR="00391D55" w:rsidRPr="00D02AB1">
        <w:rPr>
          <w:rFonts w:ascii="Times New Roman" w:hAnsi="Times New Roman" w:cs="Times New Roman"/>
          <w:iCs/>
          <w:sz w:val="24"/>
          <w:szCs w:val="24"/>
        </w:rPr>
        <w:t xml:space="preserve"> </w:t>
      </w:r>
      <w:r w:rsidR="00423BF0" w:rsidRPr="00D02AB1">
        <w:rPr>
          <w:rFonts w:ascii="Times New Roman" w:hAnsi="Times New Roman" w:cs="Times New Roman"/>
          <w:iCs/>
          <w:sz w:val="24"/>
          <w:szCs w:val="24"/>
        </w:rPr>
        <w:t>(Camarena y Velarde, 2009, pp. 109-110).</w:t>
      </w:r>
    </w:p>
    <w:p w14:paraId="05BE14B8" w14:textId="0112C765" w:rsidR="00836A88" w:rsidRPr="003E7A82" w:rsidRDefault="00836A88" w:rsidP="0028689B">
      <w:pPr>
        <w:tabs>
          <w:tab w:val="left" w:pos="284"/>
        </w:tabs>
        <w:spacing w:after="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Esto es que se requiere una estrategia para </w:t>
      </w:r>
      <w:r w:rsidR="00BB0380" w:rsidRPr="003E7A82">
        <w:rPr>
          <w:rFonts w:ascii="Times New Roman" w:hAnsi="Times New Roman" w:cs="Times New Roman"/>
          <w:iCs/>
          <w:sz w:val="24"/>
          <w:szCs w:val="24"/>
        </w:rPr>
        <w:t xml:space="preserve">que </w:t>
      </w:r>
      <w:r w:rsidR="00BD5132" w:rsidRPr="003E7A82">
        <w:rPr>
          <w:rFonts w:ascii="Times New Roman" w:hAnsi="Times New Roman" w:cs="Times New Roman"/>
          <w:iCs/>
          <w:sz w:val="24"/>
          <w:szCs w:val="24"/>
        </w:rPr>
        <w:t>las instituciones de educación superior generen</w:t>
      </w:r>
      <w:r w:rsidR="00BB0380" w:rsidRPr="003E7A82">
        <w:rPr>
          <w:rFonts w:ascii="Times New Roman" w:hAnsi="Times New Roman" w:cs="Times New Roman"/>
          <w:iCs/>
          <w:sz w:val="24"/>
          <w:szCs w:val="24"/>
        </w:rPr>
        <w:t xml:space="preserve"> profesionistas capaces que satisfagan al mercado laboral </w:t>
      </w:r>
      <w:r w:rsidR="00BD5132" w:rsidRPr="003E7A82">
        <w:rPr>
          <w:rFonts w:ascii="Times New Roman" w:hAnsi="Times New Roman" w:cs="Times New Roman"/>
          <w:iCs/>
          <w:sz w:val="24"/>
          <w:szCs w:val="24"/>
        </w:rPr>
        <w:t>actual y venidero.</w:t>
      </w:r>
    </w:p>
    <w:p w14:paraId="196C0E62" w14:textId="77777777" w:rsidR="00E77F98" w:rsidRPr="0028689B" w:rsidRDefault="00E77F98" w:rsidP="0028689B">
      <w:pPr>
        <w:tabs>
          <w:tab w:val="left" w:pos="284"/>
        </w:tabs>
        <w:spacing w:after="0" w:line="360" w:lineRule="auto"/>
        <w:jc w:val="center"/>
        <w:rPr>
          <w:rFonts w:ascii="Times New Roman" w:hAnsi="Times New Roman" w:cs="Times New Roman"/>
          <w:b/>
          <w:sz w:val="24"/>
          <w:szCs w:val="24"/>
        </w:rPr>
      </w:pPr>
    </w:p>
    <w:p w14:paraId="28DEEAAE" w14:textId="52FEF0E3" w:rsidR="0073267A" w:rsidRPr="003E7A82" w:rsidRDefault="0073267A" w:rsidP="0028689B">
      <w:pPr>
        <w:tabs>
          <w:tab w:val="left" w:pos="284"/>
        </w:tabs>
        <w:spacing w:after="0" w:line="360" w:lineRule="auto"/>
        <w:jc w:val="center"/>
        <w:rPr>
          <w:rFonts w:ascii="Times New Roman" w:hAnsi="Times New Roman" w:cs="Times New Roman"/>
          <w:b/>
          <w:sz w:val="32"/>
          <w:szCs w:val="32"/>
        </w:rPr>
      </w:pPr>
      <w:r w:rsidRPr="003E7A82">
        <w:rPr>
          <w:rFonts w:ascii="Times New Roman" w:hAnsi="Times New Roman" w:cs="Times New Roman"/>
          <w:b/>
          <w:sz w:val="32"/>
          <w:szCs w:val="32"/>
        </w:rPr>
        <w:t>Discusión</w:t>
      </w:r>
    </w:p>
    <w:p w14:paraId="0ADDE457" w14:textId="19363199" w:rsidR="0073267A" w:rsidRPr="003E7A82" w:rsidRDefault="0073267A"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 xml:space="preserve">Una vez identificados los antecedentes, se </w:t>
      </w:r>
      <w:r w:rsidRPr="00D02AB1">
        <w:rPr>
          <w:rFonts w:ascii="Times New Roman" w:hAnsi="Times New Roman" w:cs="Times New Roman"/>
          <w:sz w:val="24"/>
          <w:szCs w:val="24"/>
        </w:rPr>
        <w:t>plantea</w:t>
      </w:r>
      <w:r w:rsidR="00423BF0" w:rsidRPr="00D02AB1">
        <w:rPr>
          <w:rFonts w:ascii="Times New Roman" w:hAnsi="Times New Roman" w:cs="Times New Roman"/>
          <w:sz w:val="24"/>
          <w:szCs w:val="24"/>
        </w:rPr>
        <w:t>n</w:t>
      </w:r>
      <w:r w:rsidRPr="00D02AB1">
        <w:rPr>
          <w:rFonts w:ascii="Times New Roman" w:hAnsi="Times New Roman" w:cs="Times New Roman"/>
          <w:sz w:val="24"/>
          <w:szCs w:val="24"/>
        </w:rPr>
        <w:t xml:space="preserve"> la</w:t>
      </w:r>
      <w:r w:rsidR="00423BF0" w:rsidRPr="00D02AB1">
        <w:rPr>
          <w:rFonts w:ascii="Times New Roman" w:hAnsi="Times New Roman" w:cs="Times New Roman"/>
          <w:sz w:val="24"/>
          <w:szCs w:val="24"/>
        </w:rPr>
        <w:t>s</w:t>
      </w:r>
      <w:r w:rsidRPr="00D02AB1">
        <w:rPr>
          <w:rFonts w:ascii="Times New Roman" w:hAnsi="Times New Roman" w:cs="Times New Roman"/>
          <w:sz w:val="24"/>
          <w:szCs w:val="24"/>
        </w:rPr>
        <w:t xml:space="preserve"> siguiente</w:t>
      </w:r>
      <w:r w:rsidR="00423BF0" w:rsidRPr="00D02AB1">
        <w:rPr>
          <w:rFonts w:ascii="Times New Roman" w:hAnsi="Times New Roman" w:cs="Times New Roman"/>
          <w:sz w:val="24"/>
          <w:szCs w:val="24"/>
        </w:rPr>
        <w:t>s</w:t>
      </w:r>
      <w:r w:rsidRPr="00D02AB1">
        <w:rPr>
          <w:rFonts w:ascii="Times New Roman" w:hAnsi="Times New Roman" w:cs="Times New Roman"/>
          <w:sz w:val="24"/>
          <w:szCs w:val="24"/>
        </w:rPr>
        <w:t xml:space="preserve"> pregunta</w:t>
      </w:r>
      <w:r w:rsidR="00423BF0" w:rsidRPr="00D02AB1">
        <w:rPr>
          <w:rFonts w:ascii="Times New Roman" w:hAnsi="Times New Roman" w:cs="Times New Roman"/>
          <w:sz w:val="24"/>
          <w:szCs w:val="24"/>
        </w:rPr>
        <w:t>s</w:t>
      </w:r>
      <w:r w:rsidRPr="00D02AB1">
        <w:rPr>
          <w:rFonts w:ascii="Times New Roman" w:hAnsi="Times New Roman" w:cs="Times New Roman"/>
          <w:sz w:val="24"/>
          <w:szCs w:val="24"/>
        </w:rPr>
        <w:t>: ¿</w:t>
      </w:r>
      <w:r w:rsidRPr="003E7A82">
        <w:rPr>
          <w:rFonts w:ascii="Times New Roman" w:hAnsi="Times New Roman" w:cs="Times New Roman"/>
          <w:sz w:val="24"/>
          <w:szCs w:val="24"/>
        </w:rPr>
        <w:t xml:space="preserve">Hasta qué punto son las instituciones públicas de educación superior las responsables de identificar los requerimientos para atender el compromiso social de las mismas, y hasta dónde son los </w:t>
      </w:r>
      <w:r w:rsidRPr="003E7A82">
        <w:rPr>
          <w:rFonts w:ascii="Times New Roman" w:hAnsi="Times New Roman" w:cs="Times New Roman"/>
          <w:sz w:val="24"/>
          <w:szCs w:val="24"/>
        </w:rPr>
        <w:lastRenderedPageBreak/>
        <w:t xml:space="preserve">órganos superiores de gobierno los encargados de decidir al respecto? ¿Existe algún foro formal en el cual se pueda plantear el alcance que deben tener los programas educativos? Asimismo, se puede cuestionar al respecto lo siguiente:  </w:t>
      </w:r>
    </w:p>
    <w:p w14:paraId="7D8D89E2" w14:textId="77777777" w:rsidR="0073267A" w:rsidRPr="003E7A82" w:rsidRDefault="0073267A" w:rsidP="00E77F98">
      <w:pPr>
        <w:pStyle w:val="Prrafodelista"/>
        <w:numPr>
          <w:ilvl w:val="0"/>
          <w:numId w:val="7"/>
        </w:num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 xml:space="preserve">¿Cuántos estudiantes se requieren para satisfacer la demanda nacional para los diferentes currículos y profesiones? </w:t>
      </w:r>
    </w:p>
    <w:p w14:paraId="39EFB0B7" w14:textId="77777777" w:rsidR="0073267A" w:rsidRPr="003E7A82" w:rsidRDefault="0073267A" w:rsidP="00E77F98">
      <w:pPr>
        <w:pStyle w:val="Prrafodelista"/>
        <w:numPr>
          <w:ilvl w:val="0"/>
          <w:numId w:val="7"/>
        </w:num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 xml:space="preserve">¿Cuántos deben ser técnicos? </w:t>
      </w:r>
    </w:p>
    <w:p w14:paraId="3B5B4202" w14:textId="77777777" w:rsidR="0073267A" w:rsidRPr="003E7A82" w:rsidRDefault="0073267A" w:rsidP="00E77F98">
      <w:pPr>
        <w:pStyle w:val="Prrafodelista"/>
        <w:numPr>
          <w:ilvl w:val="0"/>
          <w:numId w:val="7"/>
        </w:num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 xml:space="preserve">¿Cuántos deben ser licenciados, maestros o doctores para las diferentes disciplinas? </w:t>
      </w:r>
    </w:p>
    <w:p w14:paraId="37002549" w14:textId="1BF6E0A5" w:rsidR="0073267A" w:rsidRPr="003E7A82" w:rsidRDefault="0073267A"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Más aún, ¿</w:t>
      </w:r>
      <w:r w:rsidR="00423BF0" w:rsidRPr="003E7A82">
        <w:rPr>
          <w:rFonts w:ascii="Times New Roman" w:hAnsi="Times New Roman" w:cs="Times New Roman"/>
          <w:sz w:val="24"/>
          <w:szCs w:val="24"/>
        </w:rPr>
        <w:t>d</w:t>
      </w:r>
      <w:r w:rsidRPr="003E7A82">
        <w:rPr>
          <w:rFonts w:ascii="Times New Roman" w:hAnsi="Times New Roman" w:cs="Times New Roman"/>
          <w:sz w:val="24"/>
          <w:szCs w:val="24"/>
        </w:rPr>
        <w:t>e qué forma se aprovecha la presencia del bono demográfico respecto a las necesidades que presenta el país en cuanto a recursos limitados, tanto económicos como naturales?</w:t>
      </w:r>
    </w:p>
    <w:p w14:paraId="1BA34434" w14:textId="09A71C72" w:rsidR="0073267A" w:rsidRPr="003E7A82" w:rsidRDefault="0073267A"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La interesante trayectoria que ha tenido la educación superior pública en nuestro país representa una herencia cultural y económica que es importante aprovechar y promover por el bien de las futuras generaciones. El compromiso social que tiene la universidad como institución de importancia en México es relevante para toda la población en general por las aportaciones que de esta se pueden derivar. Para Viteri (2010), el concepto de la responsabilidad social queda enmarcado como uno de los que se relacionan justamente con el compromiso social; asimismo, este es un concepto con el cual se busca generar un proyecto de construcción nacional a partir de distintas instancias. A este respecto, señala lo siguiente:</w:t>
      </w:r>
    </w:p>
    <w:p w14:paraId="617C3AD5" w14:textId="629B0415" w:rsidR="0073267A" w:rsidRPr="003E7A82" w:rsidRDefault="0073267A" w:rsidP="00E77F98">
      <w:pPr>
        <w:tabs>
          <w:tab w:val="left" w:pos="284"/>
        </w:tabs>
        <w:spacing w:before="40" w:after="40" w:line="360" w:lineRule="auto"/>
        <w:ind w:left="567"/>
        <w:jc w:val="both"/>
        <w:rPr>
          <w:rStyle w:val="markedcontent"/>
          <w:rFonts w:ascii="Times New Roman" w:hAnsi="Times New Roman" w:cs="Times New Roman"/>
          <w:sz w:val="24"/>
          <w:szCs w:val="24"/>
        </w:rPr>
      </w:pPr>
      <w:r w:rsidRPr="003E7A82">
        <w:rPr>
          <w:rStyle w:val="markedcontent"/>
          <w:rFonts w:ascii="Times New Roman" w:hAnsi="Times New Roman" w:cs="Times New Roman"/>
          <w:sz w:val="24"/>
          <w:szCs w:val="24"/>
        </w:rPr>
        <w:t>Responsabilidad Social es el compromiso de identificar los problemas de interés público como: medio ambiente, pobreza, desigualdad de ingresos, atención de salud, hambre, desnutrición y analfabetismo y, que compete a todo tipo de organizaciones (empresa, estado, universidad), para emprender acciones que generen impactos positivos en la sociedad, con el aporte de soluciones basadas en la transparencia, pluralidad, sustentabilidad y ética, siendo la meta el desarrollo sustentable del ser humano y su entorno (Viteri, 2010, p.</w:t>
      </w:r>
      <w:r w:rsidR="00551E8E" w:rsidRPr="003E7A82">
        <w:rPr>
          <w:rStyle w:val="markedcontent"/>
          <w:rFonts w:ascii="Times New Roman" w:hAnsi="Times New Roman" w:cs="Times New Roman"/>
          <w:sz w:val="24"/>
          <w:szCs w:val="24"/>
        </w:rPr>
        <w:t xml:space="preserve"> </w:t>
      </w:r>
      <w:r w:rsidRPr="003E7A82">
        <w:rPr>
          <w:rStyle w:val="markedcontent"/>
          <w:rFonts w:ascii="Times New Roman" w:hAnsi="Times New Roman" w:cs="Times New Roman"/>
          <w:sz w:val="24"/>
          <w:szCs w:val="24"/>
        </w:rPr>
        <w:t>91)</w:t>
      </w:r>
      <w:r w:rsidR="001A2DA2" w:rsidRPr="003E7A82">
        <w:rPr>
          <w:rStyle w:val="markedcontent"/>
          <w:rFonts w:ascii="Times New Roman" w:hAnsi="Times New Roman" w:cs="Times New Roman"/>
          <w:sz w:val="24"/>
          <w:szCs w:val="24"/>
        </w:rPr>
        <w:t>.</w:t>
      </w:r>
    </w:p>
    <w:p w14:paraId="75E9E334" w14:textId="265FFE2A" w:rsidR="0073267A" w:rsidRPr="003E7A82" w:rsidRDefault="0073267A" w:rsidP="00E77F98">
      <w:pPr>
        <w:tabs>
          <w:tab w:val="left" w:pos="284"/>
        </w:tabs>
        <w:spacing w:before="40" w:after="40" w:line="360" w:lineRule="auto"/>
        <w:jc w:val="both"/>
        <w:rPr>
          <w:rStyle w:val="markedcontent"/>
          <w:rFonts w:ascii="Times New Roman" w:hAnsi="Times New Roman" w:cs="Times New Roman"/>
          <w:sz w:val="24"/>
          <w:szCs w:val="24"/>
        </w:rPr>
      </w:pPr>
      <w:r w:rsidRPr="003E7A82">
        <w:rPr>
          <w:rStyle w:val="markedcontent"/>
          <w:rFonts w:ascii="Times New Roman" w:hAnsi="Times New Roman" w:cs="Times New Roman"/>
          <w:sz w:val="24"/>
          <w:szCs w:val="24"/>
        </w:rPr>
        <w:t xml:space="preserve">En la búsqueda de resarcir una serie de afectaciones anteriormente creadas dentro del contexto social, la participación de tres sectores se hace necesaria: el empresarial, el estado y el de las universidades. Su participación comprende el emprendimiento de acciones e impactos positivos enfocados al restablecimiento del medio ambiente, disminución de la pobreza, la salud, el hambre y la educación de la población que en su conjunto pueden apoyar el avance y el desarrollo del país. Al hacer mención del sector universitario, Pérez (2009) señala los aspectos que la responsabilidad universitaria debe buscar: nuevos compromisos sociales; definir su posición estratégica ante la sociedad; aportar un valor agregado a sus actividades y </w:t>
      </w:r>
      <w:r w:rsidRPr="003E7A82">
        <w:rPr>
          <w:rStyle w:val="markedcontent"/>
          <w:rFonts w:ascii="Times New Roman" w:hAnsi="Times New Roman" w:cs="Times New Roman"/>
          <w:sz w:val="24"/>
          <w:szCs w:val="24"/>
        </w:rPr>
        <w:lastRenderedPageBreak/>
        <w:t>funciones; incluir la excelencia y liderazgo cultural y científico; repensar la función y posición en la sociedad; ofrecer mejores servicios y elevar su exigencia y desempeño; adquirir nuevos roles y funciones; trabajo con otras instancias en el desarrollo de la ciencia y la tecnología y convertirse en una comunidad socialmente responsable.</w:t>
      </w:r>
    </w:p>
    <w:p w14:paraId="28BE3C53" w14:textId="77777777" w:rsidR="0073267A" w:rsidRPr="003E7A82" w:rsidRDefault="0073267A"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 xml:space="preserve">De esta manera, la universidad tendrá un impacto directo a nivel académico, en la investigación y en la extensión, repercutiendo directamente en la formación de recursos humanos, creando nuevos conocimientos que se transfieran al contexto social y desarrollando una red con la cual interactuar con la sociedad, la empresa y el Estado. Actualmente, con la participación de foros nacionales, estatales y universitarios los especialistas, académicos, estudiantes y público en general se han generado propuestas que si bien marcan pautas de acción, se convierten en aspectos utópicos si se piensa en la aplicación de estos en el contexto social, tanto público como privado, sus interacciones, con instancias del exterior y un conjunto de agrupaciones que influyen en la </w:t>
      </w:r>
      <w:r w:rsidRPr="003E7A82">
        <w:rPr>
          <w:rFonts w:ascii="Times New Roman" w:hAnsi="Times New Roman" w:cs="Times New Roman"/>
          <w:iCs/>
          <w:sz w:val="24"/>
          <w:szCs w:val="24"/>
        </w:rPr>
        <w:t>red</w:t>
      </w:r>
      <w:r w:rsidRPr="003E7A82">
        <w:rPr>
          <w:rFonts w:ascii="Times New Roman" w:hAnsi="Times New Roman" w:cs="Times New Roman"/>
          <w:sz w:val="24"/>
          <w:szCs w:val="24"/>
        </w:rPr>
        <w:t xml:space="preserve"> de la actividad humana y su sistematización a nivel regional y mundial.</w:t>
      </w:r>
    </w:p>
    <w:p w14:paraId="251D0E80" w14:textId="77777777" w:rsidR="0073267A" w:rsidRPr="003E7A82" w:rsidRDefault="0073267A"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 xml:space="preserve">A este respecto, la Universidad Nacional Autónoma de México (2019) señala el compromiso que existe entre la universidad y el contexto social para contribuir al desarrollo social con diferentes estrategias. Así, la UNAM establece cuatro ejes fundamentales que deben tomarse en cuenta para mejorar las condiciones de vida de la población tras una adecuada gestión pública: </w:t>
      </w:r>
    </w:p>
    <w:p w14:paraId="66C20FE0" w14:textId="4BA65870" w:rsidR="0073267A" w:rsidRPr="003E7A82" w:rsidRDefault="0073267A" w:rsidP="00E77F98">
      <w:pPr>
        <w:pStyle w:val="Prrafodelista"/>
        <w:numPr>
          <w:ilvl w:val="0"/>
          <w:numId w:val="7"/>
        </w:num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Abatimiento de la pobreza y sociedad más igualitaria.</w:t>
      </w:r>
    </w:p>
    <w:p w14:paraId="3DE7FA3D" w14:textId="479BAFF5" w:rsidR="0073267A" w:rsidRPr="003E7A82" w:rsidRDefault="0073267A" w:rsidP="00E77F98">
      <w:pPr>
        <w:pStyle w:val="Prrafodelista"/>
        <w:numPr>
          <w:ilvl w:val="0"/>
          <w:numId w:val="7"/>
        </w:num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Crecimiento más elevado, incluyente y sustentable.</w:t>
      </w:r>
    </w:p>
    <w:p w14:paraId="0777C54A" w14:textId="1079D89A" w:rsidR="0073267A" w:rsidRPr="003E7A82" w:rsidRDefault="0073267A" w:rsidP="00E77F98">
      <w:pPr>
        <w:pStyle w:val="Prrafodelista"/>
        <w:numPr>
          <w:ilvl w:val="0"/>
          <w:numId w:val="7"/>
        </w:num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Desarrollo territorial y sustentabilidad.</w:t>
      </w:r>
    </w:p>
    <w:p w14:paraId="18D8542B" w14:textId="2D77523B" w:rsidR="0073267A" w:rsidRPr="003E7A82" w:rsidRDefault="0073267A" w:rsidP="00E77F98">
      <w:pPr>
        <w:pStyle w:val="Prrafodelista"/>
        <w:numPr>
          <w:ilvl w:val="0"/>
          <w:numId w:val="7"/>
        </w:num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Reformas institucionales para el desarrollo inclusivo.</w:t>
      </w:r>
    </w:p>
    <w:p w14:paraId="3E21B682" w14:textId="506C7D47" w:rsidR="0073267A" w:rsidRPr="003E7A82" w:rsidRDefault="0073267A"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 xml:space="preserve">Para el primer eje se proponen estrategias que vayan en contra de la pobreza desde mejoras </w:t>
      </w:r>
      <w:r w:rsidRPr="00D02AB1">
        <w:rPr>
          <w:rFonts w:ascii="Times New Roman" w:hAnsi="Times New Roman" w:cs="Times New Roman"/>
          <w:sz w:val="24"/>
          <w:szCs w:val="24"/>
        </w:rPr>
        <w:t xml:space="preserve">salariales </w:t>
      </w:r>
      <w:r w:rsidR="00423BF0" w:rsidRPr="00D02AB1">
        <w:rPr>
          <w:rFonts w:ascii="Times New Roman" w:hAnsi="Times New Roman" w:cs="Times New Roman"/>
          <w:sz w:val="24"/>
          <w:szCs w:val="24"/>
        </w:rPr>
        <w:t xml:space="preserve">hasta </w:t>
      </w:r>
      <w:r w:rsidRPr="00D02AB1">
        <w:rPr>
          <w:rFonts w:ascii="Times New Roman" w:hAnsi="Times New Roman" w:cs="Times New Roman"/>
          <w:sz w:val="24"/>
          <w:szCs w:val="24"/>
        </w:rPr>
        <w:t>nuevas</w:t>
      </w:r>
      <w:r w:rsidRPr="003E7A82">
        <w:rPr>
          <w:rFonts w:ascii="Times New Roman" w:hAnsi="Times New Roman" w:cs="Times New Roman"/>
          <w:sz w:val="24"/>
          <w:szCs w:val="24"/>
        </w:rPr>
        <w:t xml:space="preserve"> políticas laborales. A partir de estrategias multidimensionales, se busca una adecuada distribución de los ingresos bajo políticas económicas, fiscales y sociales en vías de un crecimiento económico.</w:t>
      </w:r>
    </w:p>
    <w:p w14:paraId="2E637E9B" w14:textId="77777777" w:rsidR="0073267A" w:rsidRPr="003E7A82" w:rsidRDefault="0073267A"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En el segundo eje, se propone observar detalladamente las políticas del empleo, generar nuevas políticas industriales, contemplar el desarrollo rural, el desarrollo científico, fomentar la economía digital, las tecnologías de la información y de la comunicación.</w:t>
      </w:r>
    </w:p>
    <w:p w14:paraId="39FCD0EF" w14:textId="77777777" w:rsidR="0073267A" w:rsidRPr="003E7A82" w:rsidRDefault="0073267A"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 xml:space="preserve">El tercer eje centra su atención en la urgencia de adecuar los procesos de producción y consumo, de ocupación territorial, del uso de la energía, de la generación de desechos, etc., </w:t>
      </w:r>
      <w:r w:rsidRPr="003E7A82">
        <w:rPr>
          <w:rFonts w:ascii="Times New Roman" w:hAnsi="Times New Roman" w:cs="Times New Roman"/>
          <w:sz w:val="24"/>
          <w:szCs w:val="24"/>
        </w:rPr>
        <w:lastRenderedPageBreak/>
        <w:t>mediante planes ambientales sustentables, buscando detener el deterioro de los ecosistemas y adoptar una economía verde.</w:t>
      </w:r>
    </w:p>
    <w:p w14:paraId="32E82562" w14:textId="559A6372" w:rsidR="0073267A" w:rsidRPr="003E7A82" w:rsidRDefault="0073267A"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Por último, en el cuarto eje se busca reivindicar los derechos humanos atendiendo aspectos de inseguridad social, corrupción y opacidad sobre todo en las distintas instituciones públicas y privadas (</w:t>
      </w:r>
      <w:r w:rsidR="00AD1230" w:rsidRPr="003E7A82">
        <w:rPr>
          <w:rFonts w:ascii="Times New Roman" w:hAnsi="Times New Roman" w:cs="Times New Roman"/>
          <w:sz w:val="24"/>
          <w:szCs w:val="24"/>
        </w:rPr>
        <w:t xml:space="preserve">UNAM, 2019, </w:t>
      </w:r>
      <w:r w:rsidRPr="003E7A82">
        <w:rPr>
          <w:rFonts w:ascii="Times New Roman" w:hAnsi="Times New Roman" w:cs="Times New Roman"/>
          <w:sz w:val="24"/>
          <w:szCs w:val="24"/>
        </w:rPr>
        <w:t>pp. 22-25)</w:t>
      </w:r>
      <w:r w:rsidR="00AD1230" w:rsidRPr="003E7A82">
        <w:rPr>
          <w:rFonts w:ascii="Times New Roman" w:hAnsi="Times New Roman" w:cs="Times New Roman"/>
          <w:sz w:val="24"/>
          <w:szCs w:val="24"/>
        </w:rPr>
        <w:t>.</w:t>
      </w:r>
    </w:p>
    <w:p w14:paraId="0CB7C119" w14:textId="282E7591" w:rsidR="0073267A" w:rsidRPr="003E7A82" w:rsidRDefault="0073267A"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A partir de la globalización, entendida como un proceso recíproco entre diversos países a nivel mundial, los que interactúan mutuamente en ámbitos económicos, políticos, tecnológicos, sociales y culturales, la internacionalización de las universidades se proyecta como una posibilidad y estrategia plausible para conocer e incorporar una serie de conocimientos, prácticas y experiencias propias de otras universidades insertadas en contextos distintos, pero que reúnen características similares a las de México, o bien, que pueden ser replicadas en ámbitos regionales para subsanar problemáticas  que  han impedido un adecuado desarrollo social y, por ende, cubrir el compromiso social al que se deben, desde los esfuerzos de validación y potenciación de las cualidades de los integrantes de las universidades. Así, los objetivos de las universidades deben considerar la internacionalización para incentivar la cultura interna, el trabajo académico y la economía de cada institución, bajo estrategias en las que confluyan procedimientos de formación, de investigación y, sobre todo, de extensión enfatizando la vinculación con las instituciones externas o fuera de México y el entendimiento de otras formas de resolver de analizar y resolver dichas problemáticas</w:t>
      </w:r>
      <w:r w:rsidR="00AD1230" w:rsidRPr="003E7A82">
        <w:rPr>
          <w:rFonts w:ascii="Times New Roman" w:hAnsi="Times New Roman" w:cs="Times New Roman"/>
          <w:sz w:val="24"/>
          <w:szCs w:val="24"/>
        </w:rPr>
        <w:t>.</w:t>
      </w:r>
    </w:p>
    <w:p w14:paraId="3F9E5D3D" w14:textId="30FB53D6" w:rsidR="00080665" w:rsidRPr="00E77F98" w:rsidRDefault="00AD1230" w:rsidP="00E77F98">
      <w:pPr>
        <w:tabs>
          <w:tab w:val="left" w:pos="284"/>
        </w:tabs>
        <w:spacing w:before="40" w:after="40" w:line="360" w:lineRule="auto"/>
        <w:jc w:val="both"/>
        <w:rPr>
          <w:rFonts w:ascii="Times New Roman" w:hAnsi="Times New Roman" w:cs="Times New Roman"/>
          <w:strike/>
          <w:color w:val="FF0000"/>
          <w:sz w:val="24"/>
          <w:szCs w:val="24"/>
        </w:rPr>
      </w:pPr>
      <w:r w:rsidRPr="003E7A82">
        <w:rPr>
          <w:rFonts w:ascii="Times New Roman" w:hAnsi="Times New Roman" w:cs="Times New Roman"/>
          <w:sz w:val="24"/>
          <w:szCs w:val="24"/>
        </w:rPr>
        <w:t xml:space="preserve">Por su parte Castellanos-Ramírez </w:t>
      </w:r>
      <w:r w:rsidR="00E301A2" w:rsidRPr="003E7A82">
        <w:rPr>
          <w:rFonts w:ascii="Times New Roman" w:hAnsi="Times New Roman" w:cs="Times New Roman"/>
          <w:sz w:val="24"/>
          <w:szCs w:val="24"/>
        </w:rPr>
        <w:t>y</w:t>
      </w:r>
      <w:r w:rsidRPr="003E7A82">
        <w:rPr>
          <w:rFonts w:ascii="Times New Roman" w:hAnsi="Times New Roman" w:cs="Times New Roman"/>
          <w:sz w:val="24"/>
          <w:szCs w:val="24"/>
        </w:rPr>
        <w:t xml:space="preserve"> Niño Carrasco</w:t>
      </w:r>
      <w:r w:rsidR="006B47F0" w:rsidRPr="003E7A82">
        <w:rPr>
          <w:rFonts w:ascii="Times New Roman" w:hAnsi="Times New Roman" w:cs="Times New Roman"/>
          <w:sz w:val="24"/>
          <w:szCs w:val="24"/>
        </w:rPr>
        <w:t xml:space="preserve">, </w:t>
      </w:r>
      <w:r w:rsidR="00CA0938" w:rsidRPr="003E7A82">
        <w:rPr>
          <w:rFonts w:ascii="Times New Roman" w:hAnsi="Times New Roman" w:cs="Times New Roman"/>
          <w:sz w:val="24"/>
          <w:szCs w:val="24"/>
        </w:rPr>
        <w:t>en un e</w:t>
      </w:r>
      <w:r w:rsidR="00B66537" w:rsidRPr="003E7A82">
        <w:rPr>
          <w:rFonts w:ascii="Times New Roman" w:hAnsi="Times New Roman" w:cs="Times New Roman"/>
          <w:sz w:val="24"/>
          <w:szCs w:val="24"/>
        </w:rPr>
        <w:t>nsay</w:t>
      </w:r>
      <w:r w:rsidR="00CA0938" w:rsidRPr="003E7A82">
        <w:rPr>
          <w:rFonts w:ascii="Times New Roman" w:hAnsi="Times New Roman" w:cs="Times New Roman"/>
          <w:sz w:val="24"/>
          <w:szCs w:val="24"/>
        </w:rPr>
        <w:t xml:space="preserve">o en el que </w:t>
      </w:r>
      <w:r w:rsidR="00B95611" w:rsidRPr="003E7A82">
        <w:rPr>
          <w:rFonts w:ascii="Times New Roman" w:hAnsi="Times New Roman" w:cs="Times New Roman"/>
          <w:sz w:val="24"/>
          <w:szCs w:val="24"/>
        </w:rPr>
        <w:t>analizan</w:t>
      </w:r>
      <w:r w:rsidR="00833A3C" w:rsidRPr="003E7A82">
        <w:rPr>
          <w:rFonts w:ascii="Times New Roman" w:hAnsi="Times New Roman" w:cs="Times New Roman"/>
          <w:sz w:val="24"/>
          <w:szCs w:val="24"/>
        </w:rPr>
        <w:t>, los retos que enfrenta la educaci</w:t>
      </w:r>
      <w:r w:rsidR="001D3509" w:rsidRPr="003E7A82">
        <w:rPr>
          <w:rFonts w:ascii="Times New Roman" w:hAnsi="Times New Roman" w:cs="Times New Roman"/>
          <w:sz w:val="24"/>
          <w:szCs w:val="24"/>
        </w:rPr>
        <w:t>ó</w:t>
      </w:r>
      <w:r w:rsidR="00833A3C" w:rsidRPr="003E7A82">
        <w:rPr>
          <w:rFonts w:ascii="Times New Roman" w:hAnsi="Times New Roman" w:cs="Times New Roman"/>
          <w:sz w:val="24"/>
          <w:szCs w:val="24"/>
        </w:rPr>
        <w:t xml:space="preserve">n superior en México, </w:t>
      </w:r>
      <w:r w:rsidR="00782A8C" w:rsidRPr="003E7A82">
        <w:rPr>
          <w:rFonts w:ascii="Times New Roman" w:hAnsi="Times New Roman" w:cs="Times New Roman"/>
          <w:sz w:val="24"/>
          <w:szCs w:val="24"/>
        </w:rPr>
        <w:t xml:space="preserve">para el sexenio de gobierno que está por concluir, </w:t>
      </w:r>
      <w:r w:rsidR="006B47F0" w:rsidRPr="003E7A82">
        <w:rPr>
          <w:rFonts w:ascii="Times New Roman" w:hAnsi="Times New Roman" w:cs="Times New Roman"/>
          <w:sz w:val="24"/>
          <w:szCs w:val="24"/>
        </w:rPr>
        <w:t>abordan también el reto que representa el compromiso social para las universidades e instituciones</w:t>
      </w:r>
      <w:r w:rsidR="007127BD" w:rsidRPr="003E7A82">
        <w:rPr>
          <w:rFonts w:ascii="Times New Roman" w:hAnsi="Times New Roman" w:cs="Times New Roman"/>
          <w:sz w:val="24"/>
          <w:szCs w:val="24"/>
        </w:rPr>
        <w:t xml:space="preserve"> de educación superior</w:t>
      </w:r>
      <w:r w:rsidR="00BF67E9" w:rsidRPr="003E7A82">
        <w:rPr>
          <w:rFonts w:ascii="Times New Roman" w:hAnsi="Times New Roman" w:cs="Times New Roman"/>
          <w:sz w:val="24"/>
          <w:szCs w:val="24"/>
        </w:rPr>
        <w:t xml:space="preserve"> hacia</w:t>
      </w:r>
      <w:r w:rsidR="007D3D3C" w:rsidRPr="003E7A82">
        <w:rPr>
          <w:rFonts w:ascii="Times New Roman" w:hAnsi="Times New Roman" w:cs="Times New Roman"/>
          <w:sz w:val="24"/>
          <w:szCs w:val="24"/>
        </w:rPr>
        <w:t xml:space="preserve"> el fortalecimiento de la educación superior</w:t>
      </w:r>
      <w:r w:rsidR="005A7AC8" w:rsidRPr="003E7A82">
        <w:rPr>
          <w:rFonts w:ascii="Times New Roman" w:hAnsi="Times New Roman" w:cs="Times New Roman"/>
          <w:sz w:val="24"/>
          <w:szCs w:val="24"/>
        </w:rPr>
        <w:t xml:space="preserve"> con</w:t>
      </w:r>
      <w:r w:rsidR="00D756BD" w:rsidRPr="003E7A82">
        <w:rPr>
          <w:rFonts w:ascii="Times New Roman" w:hAnsi="Times New Roman" w:cs="Times New Roman"/>
          <w:sz w:val="24"/>
          <w:szCs w:val="24"/>
        </w:rPr>
        <w:t>siderando el enfoque</w:t>
      </w:r>
      <w:r w:rsidR="005A7AC8" w:rsidRPr="003E7A82">
        <w:rPr>
          <w:rFonts w:ascii="Times New Roman" w:hAnsi="Times New Roman" w:cs="Times New Roman"/>
          <w:sz w:val="24"/>
          <w:szCs w:val="24"/>
        </w:rPr>
        <w:t xml:space="preserve"> </w:t>
      </w:r>
      <w:r w:rsidR="00D756BD" w:rsidRPr="003E7A82">
        <w:rPr>
          <w:rFonts w:ascii="Times New Roman" w:hAnsi="Times New Roman" w:cs="Times New Roman"/>
          <w:sz w:val="24"/>
          <w:szCs w:val="24"/>
        </w:rPr>
        <w:t xml:space="preserve">que se ha dado </w:t>
      </w:r>
      <w:r w:rsidR="00504193" w:rsidRPr="003E7A82">
        <w:rPr>
          <w:rFonts w:ascii="Times New Roman" w:hAnsi="Times New Roman" w:cs="Times New Roman"/>
          <w:sz w:val="24"/>
          <w:szCs w:val="24"/>
        </w:rPr>
        <w:t>e</w:t>
      </w:r>
      <w:r w:rsidR="006521F7" w:rsidRPr="003E7A82">
        <w:rPr>
          <w:rFonts w:ascii="Times New Roman" w:hAnsi="Times New Roman" w:cs="Times New Roman"/>
          <w:sz w:val="24"/>
          <w:szCs w:val="24"/>
        </w:rPr>
        <w:t>n e</w:t>
      </w:r>
      <w:r w:rsidR="00504193" w:rsidRPr="003E7A82">
        <w:rPr>
          <w:rFonts w:ascii="Times New Roman" w:hAnsi="Times New Roman" w:cs="Times New Roman"/>
          <w:sz w:val="24"/>
          <w:szCs w:val="24"/>
        </w:rPr>
        <w:t>l</w:t>
      </w:r>
      <w:r w:rsidR="00504193" w:rsidRPr="003E7A82">
        <w:rPr>
          <w:rFonts w:ascii="Times New Roman" w:hAnsi="Times New Roman" w:cs="Times New Roman"/>
          <w:color w:val="FF0000"/>
          <w:sz w:val="24"/>
          <w:szCs w:val="24"/>
        </w:rPr>
        <w:t xml:space="preserve"> </w:t>
      </w:r>
      <w:r w:rsidR="005B3FB6" w:rsidRPr="003E7A82">
        <w:rPr>
          <w:rFonts w:ascii="Times New Roman" w:hAnsi="Times New Roman" w:cs="Times New Roman"/>
          <w:sz w:val="24"/>
          <w:szCs w:val="24"/>
        </w:rPr>
        <w:t>crecimiento de la matrícula</w:t>
      </w:r>
      <w:r w:rsidR="00F80782" w:rsidRPr="003E7A82">
        <w:rPr>
          <w:rFonts w:ascii="Times New Roman" w:hAnsi="Times New Roman" w:cs="Times New Roman"/>
          <w:sz w:val="24"/>
          <w:szCs w:val="24"/>
        </w:rPr>
        <w:t xml:space="preserve"> </w:t>
      </w:r>
      <w:r w:rsidR="005B3FB6" w:rsidRPr="003E7A82">
        <w:rPr>
          <w:rFonts w:ascii="Times New Roman" w:hAnsi="Times New Roman" w:cs="Times New Roman"/>
          <w:sz w:val="24"/>
          <w:szCs w:val="24"/>
        </w:rPr>
        <w:t>de las universidades</w:t>
      </w:r>
      <w:r w:rsidR="00B04AF1" w:rsidRPr="003E7A82">
        <w:rPr>
          <w:rFonts w:ascii="Times New Roman" w:hAnsi="Times New Roman" w:cs="Times New Roman"/>
          <w:sz w:val="24"/>
          <w:szCs w:val="24"/>
        </w:rPr>
        <w:t xml:space="preserve">, para lo </w:t>
      </w:r>
      <w:r w:rsidR="0058380A" w:rsidRPr="003E7A82">
        <w:rPr>
          <w:rFonts w:ascii="Times New Roman" w:hAnsi="Times New Roman" w:cs="Times New Roman"/>
          <w:sz w:val="24"/>
          <w:szCs w:val="24"/>
        </w:rPr>
        <w:t>cual</w:t>
      </w:r>
      <w:r w:rsidR="00B04AF1" w:rsidRPr="003E7A82">
        <w:rPr>
          <w:rFonts w:ascii="Times New Roman" w:hAnsi="Times New Roman" w:cs="Times New Roman"/>
          <w:sz w:val="24"/>
          <w:szCs w:val="24"/>
        </w:rPr>
        <w:t xml:space="preserve"> proponen una estrategia que descansa a su vez en cinco ejes</w:t>
      </w:r>
      <w:r w:rsidR="00423BF0" w:rsidRPr="003E7A82">
        <w:rPr>
          <w:rFonts w:ascii="Times New Roman" w:hAnsi="Times New Roman" w:cs="Times New Roman"/>
          <w:sz w:val="24"/>
          <w:szCs w:val="24"/>
        </w:rPr>
        <w:t>:</w:t>
      </w:r>
      <w:r w:rsidR="003B2A91" w:rsidRPr="003E7A82">
        <w:rPr>
          <w:rFonts w:ascii="Times New Roman" w:hAnsi="Times New Roman" w:cs="Times New Roman"/>
          <w:sz w:val="24"/>
          <w:szCs w:val="24"/>
        </w:rPr>
        <w:t xml:space="preserve"> </w:t>
      </w:r>
    </w:p>
    <w:p w14:paraId="55B585F2" w14:textId="77777777" w:rsidR="00C26BC4" w:rsidRPr="003E7A82" w:rsidRDefault="00080665" w:rsidP="00E77F98">
      <w:pPr>
        <w:pStyle w:val="Prrafodelista"/>
        <w:numPr>
          <w:ilvl w:val="0"/>
          <w:numId w:val="11"/>
        </w:num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R</w:t>
      </w:r>
      <w:r w:rsidR="008D67D7" w:rsidRPr="003E7A82">
        <w:rPr>
          <w:rFonts w:ascii="Times New Roman" w:hAnsi="Times New Roman" w:cs="Times New Roman"/>
          <w:sz w:val="24"/>
          <w:szCs w:val="24"/>
        </w:rPr>
        <w:t>espeto a la autonomía y consenso entre universidades</w:t>
      </w:r>
      <w:r w:rsidR="0058380A" w:rsidRPr="003E7A82">
        <w:rPr>
          <w:rFonts w:ascii="Times New Roman" w:hAnsi="Times New Roman" w:cs="Times New Roman"/>
          <w:sz w:val="24"/>
          <w:szCs w:val="24"/>
        </w:rPr>
        <w:t xml:space="preserve">; </w:t>
      </w:r>
    </w:p>
    <w:p w14:paraId="3C9BAFC5" w14:textId="77777777" w:rsidR="00C26BC4" w:rsidRPr="003E7A82" w:rsidRDefault="00C26BC4" w:rsidP="00E77F98">
      <w:pPr>
        <w:pStyle w:val="Prrafodelista"/>
        <w:numPr>
          <w:ilvl w:val="0"/>
          <w:numId w:val="11"/>
        </w:num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M</w:t>
      </w:r>
      <w:r w:rsidR="0054595F" w:rsidRPr="003E7A82">
        <w:rPr>
          <w:rFonts w:ascii="Times New Roman" w:hAnsi="Times New Roman" w:cs="Times New Roman"/>
          <w:sz w:val="24"/>
          <w:szCs w:val="24"/>
        </w:rPr>
        <w:t>ejora del déficit en la infraestructura y capital humano en las universidades públicas</w:t>
      </w:r>
      <w:r w:rsidR="003C35C9" w:rsidRPr="003E7A82">
        <w:rPr>
          <w:rFonts w:ascii="Times New Roman" w:hAnsi="Times New Roman" w:cs="Times New Roman"/>
          <w:sz w:val="24"/>
          <w:szCs w:val="24"/>
        </w:rPr>
        <w:t>;</w:t>
      </w:r>
    </w:p>
    <w:p w14:paraId="56EBBCD2" w14:textId="77777777" w:rsidR="00C26BC4" w:rsidRPr="003E7A82" w:rsidRDefault="00C26BC4" w:rsidP="00E77F98">
      <w:pPr>
        <w:pStyle w:val="Prrafodelista"/>
        <w:numPr>
          <w:ilvl w:val="0"/>
          <w:numId w:val="11"/>
        </w:num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R</w:t>
      </w:r>
      <w:r w:rsidR="003C35C9" w:rsidRPr="003E7A82">
        <w:rPr>
          <w:rFonts w:ascii="Times New Roman" w:hAnsi="Times New Roman" w:cs="Times New Roman"/>
          <w:sz w:val="24"/>
          <w:szCs w:val="24"/>
        </w:rPr>
        <w:t>escate de las universidades públicas autónomas de la crisis económica;</w:t>
      </w:r>
    </w:p>
    <w:p w14:paraId="4891C9D8" w14:textId="6914C829" w:rsidR="00DB3579" w:rsidRPr="003E7A82" w:rsidRDefault="00C26BC4" w:rsidP="00EF559F">
      <w:pPr>
        <w:pStyle w:val="Prrafodelista"/>
        <w:numPr>
          <w:ilvl w:val="0"/>
          <w:numId w:val="11"/>
        </w:num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I</w:t>
      </w:r>
      <w:r w:rsidR="004A314E" w:rsidRPr="003E7A82">
        <w:rPr>
          <w:rFonts w:ascii="Times New Roman" w:hAnsi="Times New Roman" w:cs="Times New Roman"/>
          <w:sz w:val="24"/>
          <w:szCs w:val="24"/>
        </w:rPr>
        <w:t>mplementación de políticas para el uso eficaz del presupuesto</w:t>
      </w:r>
      <w:r w:rsidR="0024169B" w:rsidRPr="003E7A82">
        <w:rPr>
          <w:rFonts w:ascii="Times New Roman" w:hAnsi="Times New Roman" w:cs="Times New Roman"/>
          <w:sz w:val="24"/>
          <w:szCs w:val="24"/>
        </w:rPr>
        <w:t xml:space="preserve">; </w:t>
      </w:r>
    </w:p>
    <w:p w14:paraId="0945A346" w14:textId="04F98064" w:rsidR="00B04AF1" w:rsidRPr="00E77F98" w:rsidRDefault="00C26BC4" w:rsidP="00E77F98">
      <w:pPr>
        <w:pStyle w:val="Prrafodelista"/>
        <w:numPr>
          <w:ilvl w:val="0"/>
          <w:numId w:val="11"/>
        </w:num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T</w:t>
      </w:r>
      <w:r w:rsidR="001D3509" w:rsidRPr="003E7A82">
        <w:rPr>
          <w:rFonts w:ascii="Times New Roman" w:hAnsi="Times New Roman" w:cs="Times New Roman"/>
          <w:sz w:val="24"/>
          <w:szCs w:val="24"/>
        </w:rPr>
        <w:t>ránsito hacia modelos educativos flexibles y pensar en sistemas educativos en línea</w:t>
      </w:r>
      <w:r w:rsidR="00423BF0" w:rsidRPr="003E7A82">
        <w:rPr>
          <w:rFonts w:ascii="Times New Roman" w:hAnsi="Times New Roman" w:cs="Times New Roman"/>
          <w:sz w:val="24"/>
          <w:szCs w:val="24"/>
        </w:rPr>
        <w:t xml:space="preserve"> (Castellanos-Ramírez y Niño Carrasco, 2022, pp. 399-400). </w:t>
      </w:r>
    </w:p>
    <w:p w14:paraId="4C96C453" w14:textId="7B2B94A9" w:rsidR="005218CF" w:rsidRPr="003E7A82" w:rsidRDefault="0090397C"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lastRenderedPageBreak/>
        <w:t>A continuación</w:t>
      </w:r>
      <w:r w:rsidR="00E87EC1" w:rsidRPr="003E7A82">
        <w:rPr>
          <w:rFonts w:ascii="Times New Roman" w:hAnsi="Times New Roman" w:cs="Times New Roman"/>
          <w:sz w:val="24"/>
          <w:szCs w:val="24"/>
        </w:rPr>
        <w:t>,</w:t>
      </w:r>
      <w:r w:rsidRPr="003E7A82">
        <w:rPr>
          <w:rFonts w:ascii="Times New Roman" w:hAnsi="Times New Roman" w:cs="Times New Roman"/>
          <w:sz w:val="24"/>
          <w:szCs w:val="24"/>
        </w:rPr>
        <w:t xml:space="preserve"> se aborda cada eje con el objeto de ver su importancia y validez en lo que respecta a</w:t>
      </w:r>
      <w:r w:rsidR="00E87EC1" w:rsidRPr="003E7A82">
        <w:rPr>
          <w:rFonts w:ascii="Times New Roman" w:hAnsi="Times New Roman" w:cs="Times New Roman"/>
          <w:sz w:val="24"/>
          <w:szCs w:val="24"/>
        </w:rPr>
        <w:t xml:space="preserve">l compromiso social de la educación superior y como éste se fortalece al considerar la internacionalización de </w:t>
      </w:r>
      <w:r w:rsidR="00BA0C9C" w:rsidRPr="003E7A82">
        <w:rPr>
          <w:rFonts w:ascii="Times New Roman" w:hAnsi="Times New Roman" w:cs="Times New Roman"/>
          <w:sz w:val="24"/>
          <w:szCs w:val="24"/>
        </w:rPr>
        <w:t>esta.</w:t>
      </w:r>
    </w:p>
    <w:p w14:paraId="079C2793" w14:textId="24DC880B" w:rsidR="00BE263A" w:rsidRPr="0028689B" w:rsidRDefault="00EF6A4A"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En lo que se refiere al respecto a la autonomía y consenso entre las universidades</w:t>
      </w:r>
      <w:r w:rsidR="00BB54CF" w:rsidRPr="003E7A82">
        <w:rPr>
          <w:rFonts w:ascii="Times New Roman" w:hAnsi="Times New Roman" w:cs="Times New Roman"/>
          <w:sz w:val="24"/>
          <w:szCs w:val="24"/>
        </w:rPr>
        <w:t>,</w:t>
      </w:r>
      <w:r w:rsidR="00065947" w:rsidRPr="003E7A82">
        <w:rPr>
          <w:rFonts w:ascii="Times New Roman" w:hAnsi="Times New Roman" w:cs="Times New Roman"/>
          <w:sz w:val="24"/>
          <w:szCs w:val="24"/>
        </w:rPr>
        <w:t xml:space="preserve"> Castellanos-Ramírez y Niño Carrasco</w:t>
      </w:r>
      <w:r w:rsidR="006F2F43" w:rsidRPr="003E7A82">
        <w:rPr>
          <w:rFonts w:ascii="Times New Roman" w:hAnsi="Times New Roman" w:cs="Times New Roman"/>
          <w:sz w:val="24"/>
          <w:szCs w:val="24"/>
        </w:rPr>
        <w:t xml:space="preserve"> </w:t>
      </w:r>
      <w:r w:rsidR="00AC2D78" w:rsidRPr="003E7A82">
        <w:rPr>
          <w:rFonts w:ascii="Times New Roman" w:hAnsi="Times New Roman" w:cs="Times New Roman"/>
          <w:sz w:val="24"/>
          <w:szCs w:val="24"/>
        </w:rPr>
        <w:t xml:space="preserve">señalan la importancia de </w:t>
      </w:r>
      <w:r w:rsidR="007911B5" w:rsidRPr="003E7A82">
        <w:rPr>
          <w:rFonts w:ascii="Times New Roman" w:hAnsi="Times New Roman" w:cs="Times New Roman"/>
          <w:sz w:val="24"/>
          <w:szCs w:val="24"/>
        </w:rPr>
        <w:t>que estos sean respetados antes de aplicar</w:t>
      </w:r>
      <w:r w:rsidR="006F2F43" w:rsidRPr="003E7A82">
        <w:rPr>
          <w:rFonts w:ascii="Times New Roman" w:hAnsi="Times New Roman" w:cs="Times New Roman"/>
          <w:sz w:val="24"/>
          <w:szCs w:val="24"/>
        </w:rPr>
        <w:t xml:space="preserve"> políticas </w:t>
      </w:r>
      <w:r w:rsidR="00081910" w:rsidRPr="003E7A82">
        <w:rPr>
          <w:rFonts w:ascii="Times New Roman" w:hAnsi="Times New Roman" w:cs="Times New Roman"/>
          <w:sz w:val="24"/>
          <w:szCs w:val="24"/>
        </w:rPr>
        <w:t>gubernamentales en lo que se refiere a la admisión</w:t>
      </w:r>
      <w:r w:rsidR="00196FE1" w:rsidRPr="003E7A82">
        <w:rPr>
          <w:rFonts w:ascii="Times New Roman" w:hAnsi="Times New Roman" w:cs="Times New Roman"/>
          <w:sz w:val="24"/>
          <w:szCs w:val="24"/>
        </w:rPr>
        <w:t xml:space="preserve">, dado que estas mismas son conscientes de su compromiso </w:t>
      </w:r>
      <w:r w:rsidR="00DE4932" w:rsidRPr="003E7A82">
        <w:rPr>
          <w:rFonts w:ascii="Times New Roman" w:hAnsi="Times New Roman" w:cs="Times New Roman"/>
          <w:sz w:val="24"/>
          <w:szCs w:val="24"/>
        </w:rPr>
        <w:t>social y enfrentan problemas de escasez de recursos. Lo sorprendente</w:t>
      </w:r>
      <w:r w:rsidR="0028082B" w:rsidRPr="003E7A82">
        <w:rPr>
          <w:rFonts w:ascii="Times New Roman" w:hAnsi="Times New Roman" w:cs="Times New Roman"/>
          <w:sz w:val="24"/>
          <w:szCs w:val="24"/>
        </w:rPr>
        <w:t xml:space="preserve"> en este sentido es que en países </w:t>
      </w:r>
      <w:r w:rsidR="00AF2C38" w:rsidRPr="003E7A82">
        <w:rPr>
          <w:rFonts w:ascii="Times New Roman" w:hAnsi="Times New Roman" w:cs="Times New Roman"/>
          <w:sz w:val="24"/>
          <w:szCs w:val="24"/>
        </w:rPr>
        <w:t xml:space="preserve">con </w:t>
      </w:r>
      <w:r w:rsidR="00390DE0" w:rsidRPr="003E7A82">
        <w:rPr>
          <w:rFonts w:ascii="Times New Roman" w:hAnsi="Times New Roman" w:cs="Times New Roman"/>
          <w:sz w:val="24"/>
          <w:szCs w:val="24"/>
        </w:rPr>
        <w:t xml:space="preserve">una </w:t>
      </w:r>
      <w:r w:rsidR="00624434" w:rsidRPr="003E7A82">
        <w:rPr>
          <w:rFonts w:ascii="Times New Roman" w:hAnsi="Times New Roman" w:cs="Times New Roman"/>
          <w:sz w:val="24"/>
          <w:szCs w:val="24"/>
        </w:rPr>
        <w:t>matrícula de educación superior</w:t>
      </w:r>
      <w:r w:rsidR="00390DE0" w:rsidRPr="003E7A82">
        <w:rPr>
          <w:rFonts w:ascii="Times New Roman" w:hAnsi="Times New Roman" w:cs="Times New Roman"/>
          <w:sz w:val="24"/>
          <w:szCs w:val="24"/>
        </w:rPr>
        <w:t>, como los Estados Unidos</w:t>
      </w:r>
      <w:r w:rsidR="009C600A" w:rsidRPr="003E7A82">
        <w:rPr>
          <w:rFonts w:ascii="Times New Roman" w:hAnsi="Times New Roman" w:cs="Times New Roman"/>
          <w:sz w:val="24"/>
          <w:szCs w:val="24"/>
        </w:rPr>
        <w:t xml:space="preserve">, las autoridades gubernamentales </w:t>
      </w:r>
      <w:r w:rsidR="007670EB" w:rsidRPr="003E7A82">
        <w:rPr>
          <w:rFonts w:ascii="Times New Roman" w:hAnsi="Times New Roman" w:cs="Times New Roman"/>
          <w:sz w:val="24"/>
          <w:szCs w:val="24"/>
        </w:rPr>
        <w:t xml:space="preserve">permiten a las universidades </w:t>
      </w:r>
      <w:r w:rsidR="00470E45" w:rsidRPr="003E7A82">
        <w:rPr>
          <w:rFonts w:ascii="Times New Roman" w:hAnsi="Times New Roman" w:cs="Times New Roman"/>
          <w:sz w:val="24"/>
          <w:szCs w:val="24"/>
        </w:rPr>
        <w:t>gestionar</w:t>
      </w:r>
      <w:r w:rsidR="0021575A" w:rsidRPr="003E7A82">
        <w:rPr>
          <w:rFonts w:ascii="Times New Roman" w:hAnsi="Times New Roman" w:cs="Times New Roman"/>
          <w:sz w:val="24"/>
          <w:szCs w:val="24"/>
        </w:rPr>
        <w:t xml:space="preserve"> la matrícula de </w:t>
      </w:r>
      <w:r w:rsidR="00645874" w:rsidRPr="003E7A82">
        <w:rPr>
          <w:rFonts w:ascii="Times New Roman" w:hAnsi="Times New Roman" w:cs="Times New Roman"/>
          <w:sz w:val="24"/>
          <w:szCs w:val="24"/>
        </w:rPr>
        <w:t xml:space="preserve">ingreso a sus programas, </w:t>
      </w:r>
      <w:r w:rsidR="00470E45" w:rsidRPr="003E7A82">
        <w:rPr>
          <w:rFonts w:ascii="Times New Roman" w:hAnsi="Times New Roman" w:cs="Times New Roman"/>
          <w:sz w:val="24"/>
          <w:szCs w:val="24"/>
        </w:rPr>
        <w:t xml:space="preserve">respetando el efecto </w:t>
      </w:r>
      <w:r w:rsidR="00424359" w:rsidRPr="003E7A82">
        <w:rPr>
          <w:rFonts w:ascii="Times New Roman" w:hAnsi="Times New Roman" w:cs="Times New Roman"/>
          <w:sz w:val="24"/>
          <w:szCs w:val="24"/>
        </w:rPr>
        <w:t>de las diferencias raciales</w:t>
      </w:r>
      <w:r w:rsidR="009B5250" w:rsidRPr="003E7A82">
        <w:rPr>
          <w:rFonts w:ascii="Times New Roman" w:hAnsi="Times New Roman" w:cs="Times New Roman"/>
          <w:sz w:val="24"/>
          <w:szCs w:val="24"/>
        </w:rPr>
        <w:t>, de g</w:t>
      </w:r>
      <w:r w:rsidR="00217C7C" w:rsidRPr="003E7A82">
        <w:rPr>
          <w:rFonts w:ascii="Times New Roman" w:hAnsi="Times New Roman" w:cs="Times New Roman"/>
          <w:sz w:val="24"/>
          <w:szCs w:val="24"/>
        </w:rPr>
        <w:t>é</w:t>
      </w:r>
      <w:r w:rsidR="009B5250" w:rsidRPr="003E7A82">
        <w:rPr>
          <w:rFonts w:ascii="Times New Roman" w:hAnsi="Times New Roman" w:cs="Times New Roman"/>
          <w:sz w:val="24"/>
          <w:szCs w:val="24"/>
        </w:rPr>
        <w:t>nero</w:t>
      </w:r>
      <w:r w:rsidR="00424359" w:rsidRPr="003E7A82">
        <w:rPr>
          <w:rFonts w:ascii="Times New Roman" w:hAnsi="Times New Roman" w:cs="Times New Roman"/>
          <w:sz w:val="24"/>
          <w:szCs w:val="24"/>
        </w:rPr>
        <w:t xml:space="preserve"> y</w:t>
      </w:r>
      <w:r w:rsidR="00BE263A" w:rsidRPr="003E7A82">
        <w:rPr>
          <w:rFonts w:ascii="Times New Roman" w:hAnsi="Times New Roman" w:cs="Times New Roman"/>
          <w:sz w:val="24"/>
          <w:szCs w:val="24"/>
        </w:rPr>
        <w:t xml:space="preserve"> de la pandemia misma, co</w:t>
      </w:r>
      <w:r w:rsidR="00221CAD" w:rsidRPr="003E7A82">
        <w:rPr>
          <w:rFonts w:ascii="Times New Roman" w:hAnsi="Times New Roman" w:cs="Times New Roman"/>
          <w:sz w:val="24"/>
          <w:szCs w:val="24"/>
        </w:rPr>
        <w:t xml:space="preserve">nforme lo reporta el Departamento de Educación de EE. UU., </w:t>
      </w:r>
      <w:r w:rsidR="00221CAD" w:rsidRPr="0028689B">
        <w:rPr>
          <w:rFonts w:ascii="Times New Roman" w:hAnsi="Times New Roman" w:cs="Times New Roman"/>
          <w:sz w:val="24"/>
          <w:szCs w:val="24"/>
        </w:rPr>
        <w:t>Centro Nacional de Estadísticas Educativas, Sistema Integrado de Datos de Educación Postsecundaria (IPEDS</w:t>
      </w:r>
      <w:r w:rsidR="00F95C46" w:rsidRPr="0028689B">
        <w:rPr>
          <w:rFonts w:ascii="Times New Roman" w:hAnsi="Times New Roman" w:cs="Times New Roman"/>
          <w:sz w:val="24"/>
          <w:szCs w:val="24"/>
        </w:rPr>
        <w:t>,</w:t>
      </w:r>
      <w:r w:rsidR="004D5099" w:rsidRPr="0028689B">
        <w:rPr>
          <w:rFonts w:ascii="Times New Roman" w:hAnsi="Times New Roman" w:cs="Times New Roman"/>
          <w:sz w:val="24"/>
          <w:szCs w:val="24"/>
        </w:rPr>
        <w:t xml:space="preserve"> 2024</w:t>
      </w:r>
      <w:r w:rsidR="00221CAD" w:rsidRPr="0028689B">
        <w:rPr>
          <w:rFonts w:ascii="Times New Roman" w:hAnsi="Times New Roman" w:cs="Times New Roman"/>
          <w:sz w:val="24"/>
          <w:szCs w:val="24"/>
        </w:rPr>
        <w:t xml:space="preserve">), primavera de 2011 a primavera de 2022, componente de inscripción de otoño, </w:t>
      </w:r>
      <w:r w:rsidR="00BB00AD" w:rsidRPr="0028689B">
        <w:rPr>
          <w:rFonts w:ascii="Times New Roman" w:hAnsi="Times New Roman" w:cs="Times New Roman"/>
          <w:sz w:val="24"/>
          <w:szCs w:val="24"/>
        </w:rPr>
        <w:t xml:space="preserve">el </w:t>
      </w:r>
      <w:r w:rsidR="005D59D8" w:rsidRPr="0028689B">
        <w:rPr>
          <w:rFonts w:ascii="Times New Roman" w:hAnsi="Times New Roman" w:cs="Times New Roman"/>
          <w:sz w:val="24"/>
          <w:szCs w:val="24"/>
        </w:rPr>
        <w:t>m</w:t>
      </w:r>
      <w:r w:rsidR="00221CAD" w:rsidRPr="0028689B">
        <w:rPr>
          <w:rFonts w:ascii="Times New Roman" w:hAnsi="Times New Roman" w:cs="Times New Roman"/>
          <w:sz w:val="24"/>
          <w:szCs w:val="24"/>
        </w:rPr>
        <w:t>odelo de proyección de matrícula en instituciones que otorgan títulos, hasta 2031</w:t>
      </w:r>
      <w:r w:rsidR="005D59D8" w:rsidRPr="0028689B">
        <w:rPr>
          <w:rFonts w:ascii="Times New Roman" w:hAnsi="Times New Roman" w:cs="Times New Roman"/>
          <w:sz w:val="24"/>
          <w:szCs w:val="24"/>
        </w:rPr>
        <w:t>,</w:t>
      </w:r>
      <w:r w:rsidR="00221CAD" w:rsidRPr="0028689B">
        <w:rPr>
          <w:rFonts w:ascii="Times New Roman" w:hAnsi="Times New Roman" w:cs="Times New Roman"/>
          <w:sz w:val="24"/>
          <w:szCs w:val="24"/>
        </w:rPr>
        <w:t xml:space="preserve"> </w:t>
      </w:r>
      <w:r w:rsidR="005D59D8" w:rsidRPr="0028689B">
        <w:rPr>
          <w:rFonts w:ascii="Times New Roman" w:hAnsi="Times New Roman" w:cs="Times New Roman"/>
          <w:sz w:val="24"/>
          <w:szCs w:val="24"/>
        </w:rPr>
        <w:t>l</w:t>
      </w:r>
      <w:r w:rsidR="00BE6849" w:rsidRPr="0028689B">
        <w:rPr>
          <w:rFonts w:ascii="Times New Roman" w:hAnsi="Times New Roman" w:cs="Times New Roman"/>
          <w:sz w:val="24"/>
          <w:szCs w:val="24"/>
        </w:rPr>
        <w:t xml:space="preserve">os datos corresponden a los 50 estados y el Distrito de Columbia. </w:t>
      </w:r>
    </w:p>
    <w:p w14:paraId="0DBC8147" w14:textId="77777777" w:rsidR="0028689B" w:rsidRPr="003E7A82" w:rsidRDefault="0028689B" w:rsidP="00E77F98">
      <w:pPr>
        <w:spacing w:before="40" w:after="40"/>
        <w:rPr>
          <w:rFonts w:ascii="Times New Roman" w:hAnsi="Times New Roman" w:cs="Times New Roman"/>
          <w:sz w:val="24"/>
          <w:szCs w:val="24"/>
        </w:rPr>
      </w:pPr>
    </w:p>
    <w:p w14:paraId="52F3DD83" w14:textId="535F6912" w:rsidR="00DA4AE7" w:rsidRPr="003E7A82" w:rsidRDefault="00DA4AE7" w:rsidP="00E77F98">
      <w:pPr>
        <w:tabs>
          <w:tab w:val="left" w:pos="284"/>
        </w:tabs>
        <w:spacing w:before="40" w:after="40" w:line="360" w:lineRule="auto"/>
        <w:jc w:val="center"/>
        <w:rPr>
          <w:rFonts w:ascii="Times New Roman" w:hAnsi="Times New Roman" w:cs="Times New Roman"/>
          <w:sz w:val="24"/>
          <w:szCs w:val="24"/>
        </w:rPr>
      </w:pPr>
      <w:r w:rsidRPr="00E77F98">
        <w:rPr>
          <w:rFonts w:ascii="Times New Roman" w:hAnsi="Times New Roman" w:cs="Times New Roman"/>
          <w:b/>
          <w:bCs/>
          <w:sz w:val="24"/>
          <w:szCs w:val="24"/>
        </w:rPr>
        <w:t xml:space="preserve">Figura 1. </w:t>
      </w:r>
      <w:r w:rsidRPr="003E7A82">
        <w:rPr>
          <w:rFonts w:ascii="Times New Roman" w:hAnsi="Times New Roman" w:cs="Times New Roman"/>
          <w:sz w:val="24"/>
          <w:szCs w:val="24"/>
        </w:rPr>
        <w:t>Matrícula universitaria real y proyectada en instituciones postsecundarias</w:t>
      </w:r>
    </w:p>
    <w:p w14:paraId="7085BFC8" w14:textId="39D741E4" w:rsidR="00DA4AE7" w:rsidRDefault="00DA4AE7" w:rsidP="00E77F98">
      <w:pPr>
        <w:tabs>
          <w:tab w:val="left" w:pos="284"/>
        </w:tabs>
        <w:spacing w:before="40" w:after="40" w:line="240" w:lineRule="auto"/>
        <w:jc w:val="center"/>
        <w:rPr>
          <w:rFonts w:ascii="Times New Roman" w:hAnsi="Times New Roman" w:cs="Times New Roman"/>
          <w:sz w:val="24"/>
          <w:szCs w:val="24"/>
        </w:rPr>
      </w:pPr>
      <w:r w:rsidRPr="003E7A82">
        <w:rPr>
          <w:rFonts w:ascii="Times New Roman" w:hAnsi="Times New Roman" w:cs="Times New Roman"/>
          <w:sz w:val="24"/>
          <w:szCs w:val="24"/>
        </w:rPr>
        <w:t xml:space="preserve">que otorgan títulos, por género: otoño de 2010 a otoño de 2031 </w:t>
      </w:r>
      <w:r w:rsidRPr="008D0664">
        <w:rPr>
          <w:rFonts w:ascii="Times New Roman" w:hAnsi="Times New Roman" w:cs="Times New Roman"/>
          <w:sz w:val="24"/>
          <w:szCs w:val="24"/>
        </w:rPr>
        <w:t>(CNEE, 2024</w:t>
      </w:r>
      <w:r w:rsidR="007650D8" w:rsidRPr="008D0664">
        <w:rPr>
          <w:rFonts w:ascii="Times New Roman" w:hAnsi="Times New Roman" w:cs="Times New Roman"/>
          <w:sz w:val="24"/>
          <w:szCs w:val="24"/>
        </w:rPr>
        <w:t>; citado en IPEDS, 2024</w:t>
      </w:r>
      <w:r w:rsidRPr="008D0664">
        <w:rPr>
          <w:rFonts w:ascii="Times New Roman" w:hAnsi="Times New Roman" w:cs="Times New Roman"/>
          <w:sz w:val="24"/>
          <w:szCs w:val="24"/>
        </w:rPr>
        <w:t>)</w:t>
      </w:r>
      <w:r w:rsidR="008D0664">
        <w:rPr>
          <w:rFonts w:ascii="Times New Roman" w:hAnsi="Times New Roman" w:cs="Times New Roman"/>
          <w:sz w:val="24"/>
          <w:szCs w:val="24"/>
        </w:rPr>
        <w:t>.</w:t>
      </w:r>
      <w:r w:rsidR="00DB3579" w:rsidRPr="008D0664">
        <w:rPr>
          <w:rFonts w:ascii="Times New Roman" w:hAnsi="Times New Roman" w:cs="Times New Roman"/>
          <w:sz w:val="24"/>
          <w:szCs w:val="24"/>
        </w:rPr>
        <w:t xml:space="preserve"> </w:t>
      </w:r>
    </w:p>
    <w:p w14:paraId="1CE87455" w14:textId="77777777" w:rsidR="009A680E" w:rsidRDefault="009A680E" w:rsidP="00E77F98">
      <w:pPr>
        <w:tabs>
          <w:tab w:val="left" w:pos="284"/>
        </w:tabs>
        <w:spacing w:before="40" w:after="40" w:line="240" w:lineRule="auto"/>
        <w:jc w:val="center"/>
        <w:rPr>
          <w:rFonts w:ascii="Times New Roman" w:hAnsi="Times New Roman" w:cs="Times New Roman"/>
          <w:sz w:val="24"/>
          <w:szCs w:val="24"/>
        </w:rPr>
      </w:pPr>
    </w:p>
    <w:p w14:paraId="0158FD3D" w14:textId="071CECF7" w:rsidR="009A1D3E" w:rsidRDefault="009A1D3E" w:rsidP="00E77F98">
      <w:pPr>
        <w:tabs>
          <w:tab w:val="left" w:pos="284"/>
        </w:tabs>
        <w:spacing w:before="40" w:after="40" w:line="240" w:lineRule="auto"/>
        <w:jc w:val="center"/>
        <w:rPr>
          <w:rFonts w:ascii="Times New Roman" w:hAnsi="Times New Roman" w:cs="Times New Roman"/>
          <w:sz w:val="24"/>
          <w:szCs w:val="24"/>
        </w:rPr>
      </w:pPr>
    </w:p>
    <w:p w14:paraId="145E4267" w14:textId="77777777" w:rsidR="00B60AC9" w:rsidRDefault="00B60AC9" w:rsidP="00B60AC9">
      <w:pPr>
        <w:tabs>
          <w:tab w:val="left" w:pos="284"/>
        </w:tabs>
        <w:spacing w:before="40" w:after="40" w:line="240" w:lineRule="auto"/>
        <w:rPr>
          <w:rFonts w:ascii="Times New Roman" w:hAnsi="Times New Roman" w:cs="Times New Roman"/>
          <w:sz w:val="20"/>
          <w:szCs w:val="20"/>
        </w:rPr>
      </w:pPr>
      <w:r w:rsidRPr="004D6263">
        <w:rPr>
          <w:rFonts w:ascii="Times New Roman" w:hAnsi="Times New Roman" w:cs="Times New Roman"/>
          <w:sz w:val="20"/>
          <w:szCs w:val="20"/>
        </w:rPr>
        <w:t>M</w:t>
      </w:r>
      <w:r>
        <w:rPr>
          <w:rFonts w:ascii="Times New Roman" w:hAnsi="Times New Roman" w:cs="Times New Roman"/>
          <w:sz w:val="20"/>
          <w:szCs w:val="20"/>
        </w:rPr>
        <w:t>atricula en millones</w:t>
      </w:r>
    </w:p>
    <w:p w14:paraId="30AE8926" w14:textId="107A3001" w:rsidR="00217C7C" w:rsidRDefault="00276775" w:rsidP="00E77F98">
      <w:pPr>
        <w:tabs>
          <w:tab w:val="left" w:pos="284"/>
        </w:tabs>
        <w:spacing w:before="40" w:after="40" w:line="360" w:lineRule="auto"/>
        <w:jc w:val="center"/>
        <w:rPr>
          <w:rFonts w:ascii="Times New Roman" w:hAnsi="Times New Roman" w:cs="Times New Roman"/>
          <w:sz w:val="24"/>
          <w:szCs w:val="24"/>
        </w:rPr>
      </w:pPr>
      <w:r w:rsidRPr="00E77F98">
        <w:rPr>
          <w:noProof/>
        </w:rPr>
        <w:drawing>
          <wp:inline distT="0" distB="0" distL="0" distR="0" wp14:anchorId="21C09E59" wp14:editId="4D2DE751">
            <wp:extent cx="5544765" cy="2165299"/>
            <wp:effectExtent l="0" t="0" r="0" b="6985"/>
            <wp:docPr id="1977809610" name="Imagen 1" descr="Una captura de pantalla de una computado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809610" name="Imagen 1" descr="Una captura de pantalla de una computadora&#10;&#10;Descripción generada automáticamente"/>
                    <pic:cNvPicPr/>
                  </pic:nvPicPr>
                  <pic:blipFill rotWithShape="1">
                    <a:blip r:embed="rId8">
                      <a:extLst>
                        <a:ext uri="{BEBA8EAE-BF5A-486C-A8C5-ECC9F3942E4B}">
                          <a14:imgProps xmlns:a14="http://schemas.microsoft.com/office/drawing/2010/main">
                            <a14:imgLayer r:embed="rId9">
                              <a14:imgEffect>
                                <a14:sharpenSoften amount="25000"/>
                              </a14:imgEffect>
                            </a14:imgLayer>
                          </a14:imgProps>
                        </a:ext>
                      </a:extLst>
                    </a:blip>
                    <a:srcRect l="21275" t="43439" r="22418" b="17449"/>
                    <a:stretch/>
                  </pic:blipFill>
                  <pic:spPr bwMode="auto">
                    <a:xfrm>
                      <a:off x="0" y="0"/>
                      <a:ext cx="5574426" cy="2176882"/>
                    </a:xfrm>
                    <a:prstGeom prst="rect">
                      <a:avLst/>
                    </a:prstGeom>
                    <a:ln>
                      <a:noFill/>
                    </a:ln>
                    <a:extLst>
                      <a:ext uri="{53640926-AAD7-44D8-BBD7-CCE9431645EC}">
                        <a14:shadowObscured xmlns:a14="http://schemas.microsoft.com/office/drawing/2010/main"/>
                      </a:ext>
                    </a:extLst>
                  </pic:spPr>
                </pic:pic>
              </a:graphicData>
            </a:graphic>
          </wp:inline>
        </w:drawing>
      </w:r>
    </w:p>
    <w:p w14:paraId="002CA6A2" w14:textId="77777777" w:rsidR="00B60AC9" w:rsidRPr="004D6263" w:rsidRDefault="00B60AC9" w:rsidP="00B60AC9">
      <w:pPr>
        <w:tabs>
          <w:tab w:val="left" w:pos="284"/>
        </w:tabs>
        <w:spacing w:before="40" w:after="40" w:line="240" w:lineRule="auto"/>
        <w:rPr>
          <w:rFonts w:ascii="Times New Roman" w:hAnsi="Times New Roman" w:cs="Times New Roman"/>
          <w:sz w:val="20"/>
          <w:szCs w:val="20"/>
        </w:rPr>
      </w:pPr>
      <w:r>
        <w:rPr>
          <w:rFonts w:ascii="Times New Roman" w:hAnsi="Times New Roman" w:cs="Times New Roman"/>
          <w:noProof/>
          <w:sz w:val="24"/>
          <w:szCs w:val="24"/>
        </w:rPr>
        <mc:AlternateContent>
          <mc:Choice Requires="wps">
            <w:drawing>
              <wp:anchor distT="0" distB="0" distL="114300" distR="114300" simplePos="0" relativeHeight="251662848" behindDoc="0" locked="0" layoutInCell="1" allowOverlap="1" wp14:anchorId="4C0145C8" wp14:editId="67DED495">
                <wp:simplePos x="0" y="0"/>
                <wp:positionH relativeFrom="column">
                  <wp:posOffset>1382395</wp:posOffset>
                </wp:positionH>
                <wp:positionV relativeFrom="paragraph">
                  <wp:posOffset>76200</wp:posOffset>
                </wp:positionV>
                <wp:extent cx="233680" cy="0"/>
                <wp:effectExtent l="0" t="19050" r="33020" b="19050"/>
                <wp:wrapNone/>
                <wp:docPr id="1289118777" name="Conector recto 1"/>
                <wp:cNvGraphicFramePr/>
                <a:graphic xmlns:a="http://schemas.openxmlformats.org/drawingml/2006/main">
                  <a:graphicData uri="http://schemas.microsoft.com/office/word/2010/wordprocessingShape">
                    <wps:wsp>
                      <wps:cNvCnPr/>
                      <wps:spPr>
                        <a:xfrm>
                          <a:off x="0" y="0"/>
                          <a:ext cx="233680" cy="0"/>
                        </a:xfrm>
                        <a:prstGeom prst="line">
                          <a:avLst/>
                        </a:prstGeom>
                        <a:ln w="317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DA7010" id="Conector recto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85pt,6pt" to="127.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" strokecolor="#7030a0" strokeweight="2.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824" behindDoc="0" locked="0" layoutInCell="1" allowOverlap="1" wp14:anchorId="6A8E58EE" wp14:editId="71F68583">
                <wp:simplePos x="0" y="0"/>
                <wp:positionH relativeFrom="column">
                  <wp:posOffset>2322830</wp:posOffset>
                </wp:positionH>
                <wp:positionV relativeFrom="paragraph">
                  <wp:posOffset>77470</wp:posOffset>
                </wp:positionV>
                <wp:extent cx="233680" cy="0"/>
                <wp:effectExtent l="0" t="19050" r="33020" b="19050"/>
                <wp:wrapNone/>
                <wp:docPr id="167463296" name="Conector recto 1"/>
                <wp:cNvGraphicFramePr/>
                <a:graphic xmlns:a="http://schemas.openxmlformats.org/drawingml/2006/main">
                  <a:graphicData uri="http://schemas.microsoft.com/office/word/2010/wordprocessingShape">
                    <wps:wsp>
                      <wps:cNvCnPr/>
                      <wps:spPr>
                        <a:xfrm>
                          <a:off x="0" y="0"/>
                          <a:ext cx="233680" cy="0"/>
                        </a:xfrm>
                        <a:prstGeom prst="line">
                          <a:avLst/>
                        </a:prstGeom>
                        <a:ln w="317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33AE5A" id="Conector recto 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9pt,6.1pt" to="201.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" strokecolor="#0d0d0d [3069]" strokeweight="2.5pt">
                <v:stroke joinstyle="miter"/>
              </v:lin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D6263">
        <w:rPr>
          <w:rFonts w:ascii="Times New Roman" w:hAnsi="Times New Roman" w:cs="Times New Roman"/>
          <w:sz w:val="20"/>
          <w:szCs w:val="20"/>
        </w:rPr>
        <w:t>Mujeres</w:t>
      </w:r>
      <w:r w:rsidRPr="004D6263">
        <w:rPr>
          <w:rFonts w:ascii="Times New Roman" w:hAnsi="Times New Roman" w:cs="Times New Roman"/>
          <w:sz w:val="20"/>
          <w:szCs w:val="20"/>
        </w:rPr>
        <w:tab/>
      </w:r>
      <w:r w:rsidRPr="004D6263">
        <w:rPr>
          <w:rFonts w:ascii="Times New Roman" w:hAnsi="Times New Roman" w:cs="Times New Roman"/>
          <w:sz w:val="20"/>
          <w:szCs w:val="20"/>
        </w:rPr>
        <w:tab/>
        <w:t>Hombres</w:t>
      </w:r>
      <w:r w:rsidRPr="004D6263">
        <w:rPr>
          <w:rFonts w:ascii="Times New Roman" w:hAnsi="Times New Roman" w:cs="Times New Roman"/>
          <w:sz w:val="20"/>
          <w:szCs w:val="20"/>
        </w:rPr>
        <w:tab/>
      </w:r>
      <w:r w:rsidRPr="004D6263">
        <w:rPr>
          <w:rFonts w:ascii="Times New Roman" w:hAnsi="Times New Roman" w:cs="Times New Roman"/>
          <w:sz w:val="20"/>
          <w:szCs w:val="20"/>
        </w:rPr>
        <w:tab/>
      </w:r>
      <w:r>
        <w:rPr>
          <w:rFonts w:ascii="Times New Roman" w:hAnsi="Times New Roman" w:cs="Times New Roman"/>
          <w:sz w:val="20"/>
          <w:szCs w:val="20"/>
        </w:rPr>
        <w:tab/>
      </w:r>
      <w:r w:rsidRPr="004D6263">
        <w:rPr>
          <w:rFonts w:ascii="Times New Roman" w:hAnsi="Times New Roman" w:cs="Times New Roman"/>
          <w:sz w:val="20"/>
          <w:szCs w:val="20"/>
        </w:rPr>
        <w:t>Datos proyectados</w:t>
      </w:r>
    </w:p>
    <w:p w14:paraId="5F235122" w14:textId="5241FF72" w:rsidR="0016185E" w:rsidRPr="0028689B" w:rsidRDefault="00A468C2" w:rsidP="0028689B">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Nota: l</w:t>
      </w:r>
      <w:r w:rsidR="00BE6849" w:rsidRPr="0028689B">
        <w:rPr>
          <w:rFonts w:ascii="Times New Roman" w:hAnsi="Times New Roman" w:cs="Times New Roman"/>
          <w:sz w:val="24"/>
          <w:szCs w:val="24"/>
        </w:rPr>
        <w:t>as instituciones que otorgan títulos de asociado o superiores y participan en programas de ayuda financiera federal del Título IV.</w:t>
      </w:r>
      <w:r w:rsidR="000D3B28" w:rsidRPr="0028689B">
        <w:rPr>
          <w:rFonts w:ascii="Times New Roman" w:hAnsi="Times New Roman" w:cs="Times New Roman"/>
          <w:sz w:val="24"/>
          <w:szCs w:val="24"/>
        </w:rPr>
        <w:t xml:space="preserve"> </w:t>
      </w:r>
      <w:r w:rsidR="002D273D" w:rsidRPr="0028689B">
        <w:rPr>
          <w:rFonts w:ascii="Times New Roman" w:hAnsi="Times New Roman" w:cs="Times New Roman"/>
          <w:sz w:val="24"/>
          <w:szCs w:val="24"/>
        </w:rPr>
        <w:t>Las proyecciones se calcularon después del inicio de la pandemia de coronavirus y tienen en cuenta los impactos esperados de la pandemia</w:t>
      </w:r>
      <w:r w:rsidR="009A655B" w:rsidRPr="0028689B">
        <w:rPr>
          <w:rFonts w:ascii="Times New Roman" w:hAnsi="Times New Roman" w:cs="Times New Roman"/>
          <w:sz w:val="24"/>
          <w:szCs w:val="24"/>
        </w:rPr>
        <w:t>. Algunos datos han sido revisados a partir de cifras publicadas anteriormente.</w:t>
      </w:r>
    </w:p>
    <w:p w14:paraId="3FB07839" w14:textId="1207A425" w:rsidR="00534EB7" w:rsidRPr="003E7A82" w:rsidRDefault="00D7295A"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lastRenderedPageBreak/>
        <w:t>Los datos corresponden a los 50 estados y el Distrito de Columbia. Las categorías raciales excluyen a las personas de etnia hispana. Las categorías de raza/etnia excluyen a los no residentes de Estados Unidos. Las instituciones que otorgan títulos de asociado o superiores y participan en programas de ayuda financiera federal del Título IV (IPEDS, 2024).</w:t>
      </w:r>
      <w:r w:rsidR="00534EB7" w:rsidRPr="003E7A82">
        <w:rPr>
          <w:rFonts w:ascii="Times New Roman" w:hAnsi="Times New Roman" w:cs="Times New Roman"/>
          <w:sz w:val="24"/>
          <w:szCs w:val="24"/>
        </w:rPr>
        <w:t xml:space="preserve"> </w:t>
      </w:r>
    </w:p>
    <w:p w14:paraId="0CEE1CA7" w14:textId="68CF15DD" w:rsidR="00534EB7" w:rsidRPr="003E7A82" w:rsidRDefault="00534EB7"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 xml:space="preserve">Como se puede apreciar, se presenta una mayor participación de hombres que de mujeres, también hay un declive en la matrícula debido a la pandemia y las estadísticas </w:t>
      </w:r>
      <w:r w:rsidR="00DB3579" w:rsidRPr="008D0664">
        <w:rPr>
          <w:rFonts w:ascii="Times New Roman" w:hAnsi="Times New Roman" w:cs="Times New Roman"/>
          <w:sz w:val="24"/>
          <w:szCs w:val="24"/>
        </w:rPr>
        <w:t xml:space="preserve">muestran </w:t>
      </w:r>
      <w:r w:rsidRPr="008D0664">
        <w:rPr>
          <w:rFonts w:ascii="Times New Roman" w:hAnsi="Times New Roman" w:cs="Times New Roman"/>
          <w:sz w:val="24"/>
          <w:szCs w:val="24"/>
        </w:rPr>
        <w:t xml:space="preserve">fuertes variaciones </w:t>
      </w:r>
      <w:r w:rsidR="00DB3579" w:rsidRPr="008D0664">
        <w:rPr>
          <w:rFonts w:ascii="Times New Roman" w:hAnsi="Times New Roman" w:cs="Times New Roman"/>
          <w:sz w:val="24"/>
          <w:szCs w:val="24"/>
        </w:rPr>
        <w:t>considerando</w:t>
      </w:r>
      <w:r w:rsidR="00DB3579" w:rsidRPr="003E7A82">
        <w:rPr>
          <w:rFonts w:ascii="Times New Roman" w:hAnsi="Times New Roman" w:cs="Times New Roman"/>
          <w:sz w:val="24"/>
          <w:szCs w:val="24"/>
        </w:rPr>
        <w:t xml:space="preserve"> </w:t>
      </w:r>
      <w:r w:rsidRPr="003E7A82">
        <w:rPr>
          <w:rFonts w:ascii="Times New Roman" w:hAnsi="Times New Roman" w:cs="Times New Roman"/>
          <w:sz w:val="24"/>
          <w:szCs w:val="24"/>
        </w:rPr>
        <w:t>la etnia a la que pertenecen.</w:t>
      </w:r>
    </w:p>
    <w:p w14:paraId="306563D4" w14:textId="77777777" w:rsidR="006020CA" w:rsidRDefault="006020CA" w:rsidP="006020CA">
      <w:pPr>
        <w:rPr>
          <w:rFonts w:ascii="Times New Roman" w:hAnsi="Times New Roman" w:cs="Times New Roman"/>
          <w:sz w:val="24"/>
          <w:szCs w:val="24"/>
        </w:rPr>
      </w:pPr>
    </w:p>
    <w:p w14:paraId="5C9AED0F" w14:textId="02B9E3D0" w:rsidR="00CA0056" w:rsidRPr="003E7A82" w:rsidRDefault="00CA0056" w:rsidP="006020CA">
      <w:pPr>
        <w:jc w:val="center"/>
        <w:rPr>
          <w:rFonts w:ascii="Times New Roman" w:hAnsi="Times New Roman" w:cs="Times New Roman"/>
          <w:sz w:val="24"/>
          <w:szCs w:val="24"/>
        </w:rPr>
      </w:pPr>
      <w:r w:rsidRPr="003470F9">
        <w:rPr>
          <w:rFonts w:ascii="Times New Roman" w:hAnsi="Times New Roman" w:cs="Times New Roman"/>
          <w:b/>
          <w:bCs/>
          <w:sz w:val="24"/>
          <w:szCs w:val="24"/>
        </w:rPr>
        <w:t>Figura 2.</w:t>
      </w:r>
      <w:r w:rsidRPr="003E7A82">
        <w:rPr>
          <w:rFonts w:ascii="Times New Roman" w:hAnsi="Times New Roman" w:cs="Times New Roman"/>
          <w:sz w:val="24"/>
          <w:szCs w:val="24"/>
        </w:rPr>
        <w:t xml:space="preserve"> Matrícula de pregrado en instituciones postsecundarias que otorgan títulos,</w:t>
      </w:r>
    </w:p>
    <w:p w14:paraId="3E854120" w14:textId="604022FC" w:rsidR="00CA0056" w:rsidRDefault="00CA0056" w:rsidP="00E77F98">
      <w:pPr>
        <w:tabs>
          <w:tab w:val="left" w:pos="284"/>
        </w:tabs>
        <w:spacing w:before="40" w:after="40" w:line="360" w:lineRule="auto"/>
        <w:jc w:val="center"/>
        <w:rPr>
          <w:rFonts w:ascii="Times New Roman" w:hAnsi="Times New Roman" w:cs="Times New Roman"/>
          <w:sz w:val="24"/>
          <w:szCs w:val="24"/>
        </w:rPr>
      </w:pPr>
      <w:r w:rsidRPr="003E7A82">
        <w:rPr>
          <w:rFonts w:ascii="Times New Roman" w:hAnsi="Times New Roman" w:cs="Times New Roman"/>
          <w:sz w:val="24"/>
          <w:szCs w:val="24"/>
        </w:rPr>
        <w:t>por raza/etnia y condición de no residente: otoño de 2010, 2019 y 2021</w:t>
      </w:r>
      <w:r w:rsidR="00DB3579" w:rsidRPr="003E7A82">
        <w:rPr>
          <w:rFonts w:ascii="Times New Roman" w:hAnsi="Times New Roman" w:cs="Times New Roman"/>
          <w:sz w:val="24"/>
          <w:szCs w:val="24"/>
        </w:rPr>
        <w:t>.</w:t>
      </w:r>
    </w:p>
    <w:p w14:paraId="014A5D1D" w14:textId="2D6D80D9" w:rsidR="006053F1" w:rsidRDefault="00AE045E" w:rsidP="006053F1">
      <w:pPr>
        <w:tabs>
          <w:tab w:val="left" w:pos="284"/>
        </w:tabs>
        <w:spacing w:before="40" w:after="4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0016" behindDoc="0" locked="0" layoutInCell="1" allowOverlap="1" wp14:anchorId="2BA9A55E" wp14:editId="0409B5F6">
                <wp:simplePos x="0" y="0"/>
                <wp:positionH relativeFrom="column">
                  <wp:posOffset>3129915</wp:posOffset>
                </wp:positionH>
                <wp:positionV relativeFrom="paragraph">
                  <wp:posOffset>50165</wp:posOffset>
                </wp:positionV>
                <wp:extent cx="171450" cy="45085"/>
                <wp:effectExtent l="0" t="0" r="19050" b="12065"/>
                <wp:wrapNone/>
                <wp:docPr id="321467187" name="Rectángulo 3"/>
                <wp:cNvGraphicFramePr/>
                <a:graphic xmlns:a="http://schemas.openxmlformats.org/drawingml/2006/main">
                  <a:graphicData uri="http://schemas.microsoft.com/office/word/2010/wordprocessingShape">
                    <wps:wsp>
                      <wps:cNvSpPr/>
                      <wps:spPr>
                        <a:xfrm>
                          <a:off x="0" y="0"/>
                          <a:ext cx="171450" cy="45085"/>
                        </a:xfrm>
                        <a:prstGeom prst="rect">
                          <a:avLst/>
                        </a:prstGeom>
                        <a:solidFill>
                          <a:schemeClr val="accent4">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8F9E51" id="Rectángulo 3" o:spid="_x0000_s1026" style="position:absolute;margin-left:246.45pt;margin-top:3.95pt;width:13.5pt;height:3.5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" fillcolor="#ffd966 [1943]" strokecolor="#091723 [484]" strokeweight="1pt"/>
            </w:pict>
          </mc:Fallback>
        </mc:AlternateContent>
      </w:r>
      <w:r w:rsidR="00AB7C57">
        <w:rPr>
          <w:rFonts w:ascii="Times New Roman" w:hAnsi="Times New Roman" w:cs="Times New Roman"/>
          <w:noProof/>
          <w:sz w:val="20"/>
          <w:szCs w:val="20"/>
        </w:rPr>
        <mc:AlternateContent>
          <mc:Choice Requires="wps">
            <w:drawing>
              <wp:anchor distT="0" distB="0" distL="114300" distR="114300" simplePos="0" relativeHeight="251665920" behindDoc="0" locked="0" layoutInCell="1" allowOverlap="1" wp14:anchorId="427B4F74" wp14:editId="297E4CDD">
                <wp:simplePos x="0" y="0"/>
                <wp:positionH relativeFrom="column">
                  <wp:posOffset>2539365</wp:posOffset>
                </wp:positionH>
                <wp:positionV relativeFrom="paragraph">
                  <wp:posOffset>50800</wp:posOffset>
                </wp:positionV>
                <wp:extent cx="171450" cy="45085"/>
                <wp:effectExtent l="0" t="0" r="19050" b="12065"/>
                <wp:wrapNone/>
                <wp:docPr id="1330818936" name="Rectángulo 3"/>
                <wp:cNvGraphicFramePr/>
                <a:graphic xmlns:a="http://schemas.openxmlformats.org/drawingml/2006/main">
                  <a:graphicData uri="http://schemas.microsoft.com/office/word/2010/wordprocessingShape">
                    <wps:wsp>
                      <wps:cNvSpPr/>
                      <wps:spPr>
                        <a:xfrm>
                          <a:off x="0" y="0"/>
                          <a:ext cx="171450" cy="45085"/>
                        </a:xfrm>
                        <a:prstGeom prst="rect">
                          <a:avLst/>
                        </a:prstGeom>
                        <a:solidFill>
                          <a:srgbClr val="7030A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8C17E8" id="Rectángulo 3" o:spid="_x0000_s1026" style="position:absolute;margin-left:199.95pt;margin-top:4pt;width:13.5pt;height:3.5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" fillcolor="#7030a0" strokecolor="#091723 [484]" strokeweight="1pt"/>
            </w:pict>
          </mc:Fallback>
        </mc:AlternateContent>
      </w:r>
      <w:r w:rsidR="00AB7C57">
        <w:rPr>
          <w:rFonts w:ascii="Times New Roman" w:hAnsi="Times New Roman" w:cs="Times New Roman"/>
          <w:noProof/>
          <w:sz w:val="20"/>
          <w:szCs w:val="20"/>
        </w:rPr>
        <mc:AlternateContent>
          <mc:Choice Requires="wps">
            <w:drawing>
              <wp:anchor distT="0" distB="0" distL="114300" distR="114300" simplePos="0" relativeHeight="251663872" behindDoc="0" locked="0" layoutInCell="1" allowOverlap="1" wp14:anchorId="5CD03AF9" wp14:editId="0972D5A8">
                <wp:simplePos x="0" y="0"/>
                <wp:positionH relativeFrom="column">
                  <wp:posOffset>1948815</wp:posOffset>
                </wp:positionH>
                <wp:positionV relativeFrom="paragraph">
                  <wp:posOffset>50165</wp:posOffset>
                </wp:positionV>
                <wp:extent cx="171450" cy="45719"/>
                <wp:effectExtent l="0" t="0" r="19050" b="12065"/>
                <wp:wrapNone/>
                <wp:docPr id="1710214356" name="Rectángulo 3"/>
                <wp:cNvGraphicFramePr/>
                <a:graphic xmlns:a="http://schemas.openxmlformats.org/drawingml/2006/main">
                  <a:graphicData uri="http://schemas.microsoft.com/office/word/2010/wordprocessingShape">
                    <wps:wsp>
                      <wps:cNvSpPr/>
                      <wps:spPr>
                        <a:xfrm>
                          <a:off x="0" y="0"/>
                          <a:ext cx="171450" cy="45719"/>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78AB5E" id="Rectángulo 3" o:spid="_x0000_s1026" style="position:absolute;margin-left:153.45pt;margin-top:3.95pt;width:13.5pt;height:3.6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" fillcolor="black [3200]" strokecolor="black [480]" strokeweight="1pt"/>
            </w:pict>
          </mc:Fallback>
        </mc:AlternateContent>
      </w:r>
      <w:r w:rsidR="006053F1" w:rsidRPr="004D6263">
        <w:rPr>
          <w:rFonts w:ascii="Times New Roman" w:hAnsi="Times New Roman" w:cs="Times New Roman"/>
          <w:sz w:val="20"/>
          <w:szCs w:val="20"/>
        </w:rPr>
        <w:t>M</w:t>
      </w:r>
      <w:r w:rsidR="006053F1">
        <w:rPr>
          <w:rFonts w:ascii="Times New Roman" w:hAnsi="Times New Roman" w:cs="Times New Roman"/>
          <w:sz w:val="20"/>
          <w:szCs w:val="20"/>
        </w:rPr>
        <w:t>atricula en millones</w:t>
      </w:r>
      <w:r w:rsidR="00B60AC9">
        <w:rPr>
          <w:rFonts w:ascii="Times New Roman" w:hAnsi="Times New Roman" w:cs="Times New Roman"/>
          <w:sz w:val="20"/>
          <w:szCs w:val="20"/>
        </w:rPr>
        <w:t xml:space="preserve">                 </w:t>
      </w:r>
      <w:r w:rsidR="00AB7C57">
        <w:rPr>
          <w:rFonts w:ascii="Times New Roman" w:hAnsi="Times New Roman" w:cs="Times New Roman"/>
          <w:sz w:val="20"/>
          <w:szCs w:val="20"/>
        </w:rPr>
        <w:t>2010</w:t>
      </w:r>
      <w:r w:rsidR="00AB7C57">
        <w:rPr>
          <w:rFonts w:ascii="Times New Roman" w:hAnsi="Times New Roman" w:cs="Times New Roman"/>
          <w:sz w:val="20"/>
          <w:szCs w:val="20"/>
        </w:rPr>
        <w:tab/>
        <w:t>2019</w:t>
      </w:r>
      <w:r w:rsidR="00AB7C57">
        <w:rPr>
          <w:rFonts w:ascii="Times New Roman" w:hAnsi="Times New Roman" w:cs="Times New Roman"/>
          <w:sz w:val="20"/>
          <w:szCs w:val="20"/>
        </w:rPr>
        <w:tab/>
        <w:t xml:space="preserve">    2021</w:t>
      </w:r>
      <w:r w:rsidR="00B60AC9" w:rsidRPr="004D6263">
        <w:rPr>
          <w:rFonts w:ascii="Times New Roman" w:hAnsi="Times New Roman" w:cs="Times New Roman"/>
          <w:sz w:val="20"/>
          <w:szCs w:val="20"/>
        </w:rPr>
        <w:tab/>
      </w:r>
    </w:p>
    <w:p w14:paraId="4CD1BBDA" w14:textId="063C17C7" w:rsidR="00B60AC9" w:rsidRDefault="00B60AC9" w:rsidP="006053F1">
      <w:pPr>
        <w:tabs>
          <w:tab w:val="left" w:pos="284"/>
        </w:tabs>
        <w:spacing w:before="40" w:after="40" w:line="240" w:lineRule="auto"/>
        <w:rPr>
          <w:rFonts w:ascii="Times New Roman" w:hAnsi="Times New Roman" w:cs="Times New Roman"/>
          <w:sz w:val="20"/>
          <w:szCs w:val="20"/>
        </w:rPr>
      </w:pPr>
      <w:r w:rsidRPr="006053F1">
        <w:rPr>
          <w:noProof/>
        </w:rPr>
        <w:drawing>
          <wp:anchor distT="0" distB="0" distL="114300" distR="114300" simplePos="0" relativeHeight="251659776" behindDoc="0" locked="0" layoutInCell="1" allowOverlap="1" wp14:anchorId="0EF3B396" wp14:editId="2CFCABA9">
            <wp:simplePos x="0" y="0"/>
            <wp:positionH relativeFrom="column">
              <wp:posOffset>-32385</wp:posOffset>
            </wp:positionH>
            <wp:positionV relativeFrom="paragraph">
              <wp:posOffset>36195</wp:posOffset>
            </wp:positionV>
            <wp:extent cx="5802630" cy="2266950"/>
            <wp:effectExtent l="0" t="0" r="7620" b="0"/>
            <wp:wrapNone/>
            <wp:docPr id="1143314978" name="Imagen 1"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314978" name="Imagen 1" descr="Interfaz de usuario gráfica&#10;&#10;Descripción generada automáticamente"/>
                    <pic:cNvPicPr/>
                  </pic:nvPicPr>
                  <pic:blipFill rotWithShape="1">
                    <a:blip r:embed="rId10">
                      <a:extLst>
                        <a:ext uri="{BEBA8EAE-BF5A-486C-A8C5-ECC9F3942E4B}">
                          <a14:imgProps xmlns:a14="http://schemas.microsoft.com/office/drawing/2010/main">
                            <a14:imgLayer r:embed="rId11">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32079" t="29062" r="12664" b="32539"/>
                    <a:stretch/>
                  </pic:blipFill>
                  <pic:spPr bwMode="auto">
                    <a:xfrm>
                      <a:off x="0" y="0"/>
                      <a:ext cx="5802630" cy="2266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BA12D2" w14:textId="2104A390" w:rsidR="00B60AC9" w:rsidRDefault="00B60AC9" w:rsidP="006053F1">
      <w:pPr>
        <w:tabs>
          <w:tab w:val="left" w:pos="284"/>
        </w:tabs>
        <w:spacing w:before="40" w:after="40" w:line="240" w:lineRule="auto"/>
        <w:rPr>
          <w:rFonts w:ascii="Times New Roman" w:hAnsi="Times New Roman" w:cs="Times New Roman"/>
          <w:sz w:val="20"/>
          <w:szCs w:val="20"/>
        </w:rPr>
      </w:pPr>
    </w:p>
    <w:p w14:paraId="16F021B2" w14:textId="6369DFFC" w:rsidR="00B60AC9" w:rsidRDefault="00B60AC9" w:rsidP="006053F1">
      <w:pPr>
        <w:tabs>
          <w:tab w:val="left" w:pos="284"/>
        </w:tabs>
        <w:spacing w:before="40" w:after="40" w:line="240" w:lineRule="auto"/>
        <w:rPr>
          <w:rFonts w:ascii="Times New Roman" w:hAnsi="Times New Roman" w:cs="Times New Roman"/>
          <w:sz w:val="20"/>
          <w:szCs w:val="20"/>
        </w:rPr>
      </w:pPr>
    </w:p>
    <w:p w14:paraId="3CC02625" w14:textId="77777777" w:rsidR="00B60AC9" w:rsidRDefault="00B60AC9" w:rsidP="006053F1">
      <w:pPr>
        <w:tabs>
          <w:tab w:val="left" w:pos="284"/>
        </w:tabs>
        <w:spacing w:before="40" w:after="40" w:line="240" w:lineRule="auto"/>
        <w:rPr>
          <w:rFonts w:ascii="Times New Roman" w:hAnsi="Times New Roman" w:cs="Times New Roman"/>
          <w:sz w:val="20"/>
          <w:szCs w:val="20"/>
        </w:rPr>
      </w:pPr>
    </w:p>
    <w:p w14:paraId="13123574" w14:textId="4355361B" w:rsidR="00B60AC9" w:rsidRDefault="00B60AC9" w:rsidP="006053F1">
      <w:pPr>
        <w:tabs>
          <w:tab w:val="left" w:pos="284"/>
        </w:tabs>
        <w:spacing w:before="40" w:after="40" w:line="240" w:lineRule="auto"/>
        <w:rPr>
          <w:rFonts w:ascii="Times New Roman" w:hAnsi="Times New Roman" w:cs="Times New Roman"/>
          <w:sz w:val="20"/>
          <w:szCs w:val="20"/>
        </w:rPr>
      </w:pPr>
    </w:p>
    <w:p w14:paraId="10358B29" w14:textId="77777777" w:rsidR="00B60AC9" w:rsidRDefault="00B60AC9" w:rsidP="006053F1">
      <w:pPr>
        <w:tabs>
          <w:tab w:val="left" w:pos="284"/>
        </w:tabs>
        <w:spacing w:before="40" w:after="40" w:line="240" w:lineRule="auto"/>
        <w:rPr>
          <w:rFonts w:ascii="Times New Roman" w:hAnsi="Times New Roman" w:cs="Times New Roman"/>
          <w:sz w:val="20"/>
          <w:szCs w:val="20"/>
        </w:rPr>
      </w:pPr>
    </w:p>
    <w:p w14:paraId="76AE5D54" w14:textId="77777777" w:rsidR="00B60AC9" w:rsidRDefault="00B60AC9" w:rsidP="006053F1">
      <w:pPr>
        <w:tabs>
          <w:tab w:val="left" w:pos="284"/>
        </w:tabs>
        <w:spacing w:before="40" w:after="40" w:line="240" w:lineRule="auto"/>
        <w:rPr>
          <w:rFonts w:ascii="Times New Roman" w:hAnsi="Times New Roman" w:cs="Times New Roman"/>
          <w:sz w:val="20"/>
          <w:szCs w:val="20"/>
        </w:rPr>
      </w:pPr>
    </w:p>
    <w:p w14:paraId="0D89D91C" w14:textId="77777777" w:rsidR="00B60AC9" w:rsidRDefault="00B60AC9" w:rsidP="006053F1">
      <w:pPr>
        <w:tabs>
          <w:tab w:val="left" w:pos="284"/>
        </w:tabs>
        <w:spacing w:before="40" w:after="40" w:line="240" w:lineRule="auto"/>
        <w:rPr>
          <w:rFonts w:ascii="Times New Roman" w:hAnsi="Times New Roman" w:cs="Times New Roman"/>
          <w:sz w:val="20"/>
          <w:szCs w:val="20"/>
        </w:rPr>
      </w:pPr>
    </w:p>
    <w:p w14:paraId="40835ACB" w14:textId="77777777" w:rsidR="00B60AC9" w:rsidRDefault="00B60AC9" w:rsidP="006053F1">
      <w:pPr>
        <w:tabs>
          <w:tab w:val="left" w:pos="284"/>
        </w:tabs>
        <w:spacing w:before="40" w:after="40" w:line="240" w:lineRule="auto"/>
        <w:rPr>
          <w:rFonts w:ascii="Times New Roman" w:hAnsi="Times New Roman" w:cs="Times New Roman"/>
          <w:sz w:val="20"/>
          <w:szCs w:val="20"/>
        </w:rPr>
      </w:pPr>
    </w:p>
    <w:p w14:paraId="643D5ECE" w14:textId="77777777" w:rsidR="00B60AC9" w:rsidRDefault="00B60AC9" w:rsidP="006053F1">
      <w:pPr>
        <w:tabs>
          <w:tab w:val="left" w:pos="284"/>
        </w:tabs>
        <w:spacing w:before="40" w:after="40" w:line="240" w:lineRule="auto"/>
        <w:rPr>
          <w:rFonts w:ascii="Times New Roman" w:hAnsi="Times New Roman" w:cs="Times New Roman"/>
          <w:sz w:val="20"/>
          <w:szCs w:val="20"/>
        </w:rPr>
      </w:pPr>
    </w:p>
    <w:p w14:paraId="20D2AC23" w14:textId="77777777" w:rsidR="00B60AC9" w:rsidRDefault="00B60AC9" w:rsidP="006053F1">
      <w:pPr>
        <w:tabs>
          <w:tab w:val="left" w:pos="284"/>
        </w:tabs>
        <w:spacing w:before="40" w:after="40" w:line="240" w:lineRule="auto"/>
        <w:rPr>
          <w:rFonts w:ascii="Times New Roman" w:hAnsi="Times New Roman" w:cs="Times New Roman"/>
          <w:sz w:val="20"/>
          <w:szCs w:val="20"/>
        </w:rPr>
      </w:pPr>
    </w:p>
    <w:p w14:paraId="3DCA5563" w14:textId="7D58AA3E" w:rsidR="00B60AC9" w:rsidRPr="004D6263" w:rsidRDefault="00B60AC9" w:rsidP="006053F1">
      <w:pPr>
        <w:tabs>
          <w:tab w:val="left" w:pos="284"/>
        </w:tabs>
        <w:spacing w:before="40" w:after="40" w:line="240" w:lineRule="auto"/>
        <w:rPr>
          <w:rFonts w:ascii="Times New Roman" w:hAnsi="Times New Roman" w:cs="Times New Roman"/>
          <w:sz w:val="20"/>
          <w:szCs w:val="20"/>
        </w:rPr>
      </w:pPr>
    </w:p>
    <w:p w14:paraId="758F4E29" w14:textId="322A0FD5" w:rsidR="00B60AC9" w:rsidRPr="00B60AC9" w:rsidRDefault="00B60AC9" w:rsidP="00B60AC9">
      <w:pPr>
        <w:tabs>
          <w:tab w:val="left" w:pos="284"/>
        </w:tabs>
        <w:spacing w:before="40" w:after="40" w:line="360" w:lineRule="auto"/>
        <w:jc w:val="center"/>
        <w:rPr>
          <w:rFonts w:ascii="Times New Roman" w:hAnsi="Times New Roman" w:cs="Times New Roman"/>
          <w:sz w:val="24"/>
          <w:szCs w:val="24"/>
        </w:rPr>
      </w:pPr>
    </w:p>
    <w:p w14:paraId="1238FB74" w14:textId="4E22FC2C" w:rsidR="00B60AC9" w:rsidRDefault="00B60AC9" w:rsidP="00B60AC9">
      <w:pPr>
        <w:tabs>
          <w:tab w:val="left" w:pos="284"/>
        </w:tabs>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 xml:space="preserve">            Indios         Asiáticos        Negros         Hispanos     Islas del       Blancos     Otras etnias    No </w:t>
      </w:r>
      <w:r w:rsidR="00835365">
        <w:rPr>
          <w:rFonts w:ascii="Times New Roman" w:hAnsi="Times New Roman" w:cs="Times New Roman"/>
          <w:sz w:val="20"/>
          <w:szCs w:val="20"/>
        </w:rPr>
        <w:t>r</w:t>
      </w:r>
      <w:r>
        <w:rPr>
          <w:rFonts w:ascii="Times New Roman" w:hAnsi="Times New Roman" w:cs="Times New Roman"/>
          <w:sz w:val="20"/>
          <w:szCs w:val="20"/>
        </w:rPr>
        <w:t>esidentes</w:t>
      </w:r>
    </w:p>
    <w:p w14:paraId="38E9873F" w14:textId="04913A66" w:rsidR="00B60AC9" w:rsidRPr="004D6263" w:rsidRDefault="00B60AC9" w:rsidP="00B60AC9">
      <w:pPr>
        <w:tabs>
          <w:tab w:val="left" w:pos="284"/>
        </w:tabs>
        <w:spacing w:before="40" w:after="40" w:line="240" w:lineRule="auto"/>
        <w:rPr>
          <w:rFonts w:ascii="Times New Roman" w:hAnsi="Times New Roman" w:cs="Times New Roman"/>
          <w:sz w:val="20"/>
          <w:szCs w:val="20"/>
        </w:rPr>
      </w:pPr>
      <w:r>
        <w:rPr>
          <w:rFonts w:ascii="Times New Roman" w:hAnsi="Times New Roman" w:cs="Times New Roman"/>
          <w:sz w:val="20"/>
          <w:szCs w:val="20"/>
        </w:rPr>
        <w:tab/>
        <w:t xml:space="preserve">      Americanos</w:t>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t xml:space="preserve">          Pacífico</w:t>
      </w:r>
    </w:p>
    <w:p w14:paraId="2FC0E4C5" w14:textId="3928C61F" w:rsidR="00B60AC9" w:rsidRPr="00B60AC9" w:rsidRDefault="00B60AC9" w:rsidP="00B60AC9">
      <w:pPr>
        <w:tabs>
          <w:tab w:val="left" w:pos="284"/>
        </w:tabs>
        <w:spacing w:before="40" w:after="40" w:line="240" w:lineRule="auto"/>
        <w:jc w:val="center"/>
        <w:rPr>
          <w:rFonts w:ascii="Times New Roman" w:hAnsi="Times New Roman" w:cs="Times New Roman"/>
          <w:b/>
          <w:bCs/>
          <w:sz w:val="20"/>
          <w:szCs w:val="20"/>
        </w:rPr>
      </w:pPr>
      <w:r w:rsidRPr="00B60AC9">
        <w:rPr>
          <w:rFonts w:ascii="Times New Roman" w:hAnsi="Times New Roman" w:cs="Times New Roman"/>
          <w:b/>
          <w:bCs/>
          <w:sz w:val="20"/>
          <w:szCs w:val="20"/>
        </w:rPr>
        <w:t xml:space="preserve">Raza/etnia y </w:t>
      </w:r>
      <w:r w:rsidR="00AB7C57">
        <w:rPr>
          <w:rFonts w:ascii="Times New Roman" w:hAnsi="Times New Roman" w:cs="Times New Roman"/>
          <w:b/>
          <w:bCs/>
          <w:sz w:val="20"/>
          <w:szCs w:val="20"/>
        </w:rPr>
        <w:t>N</w:t>
      </w:r>
      <w:r w:rsidRPr="00B60AC9">
        <w:rPr>
          <w:rFonts w:ascii="Times New Roman" w:hAnsi="Times New Roman" w:cs="Times New Roman"/>
          <w:b/>
          <w:bCs/>
          <w:sz w:val="20"/>
          <w:szCs w:val="20"/>
        </w:rPr>
        <w:t>o residentes</w:t>
      </w:r>
    </w:p>
    <w:p w14:paraId="5329A3BC" w14:textId="08A73B1B" w:rsidR="002D273D" w:rsidRDefault="002D273D" w:rsidP="00E77F98">
      <w:pPr>
        <w:tabs>
          <w:tab w:val="left" w:pos="284"/>
        </w:tabs>
        <w:spacing w:before="40" w:after="40" w:line="360" w:lineRule="auto"/>
        <w:jc w:val="center"/>
        <w:rPr>
          <w:rFonts w:ascii="Times New Roman" w:hAnsi="Times New Roman" w:cs="Times New Roman"/>
          <w:sz w:val="24"/>
          <w:szCs w:val="24"/>
        </w:rPr>
      </w:pPr>
    </w:p>
    <w:p w14:paraId="01E72055" w14:textId="0289A972" w:rsidR="006053F1" w:rsidRPr="003E7A82" w:rsidRDefault="006053F1" w:rsidP="00E77F98">
      <w:pPr>
        <w:tabs>
          <w:tab w:val="left" w:pos="284"/>
        </w:tabs>
        <w:spacing w:before="40" w:after="40" w:line="360" w:lineRule="auto"/>
        <w:jc w:val="center"/>
        <w:rPr>
          <w:rFonts w:ascii="Times New Roman" w:hAnsi="Times New Roman" w:cs="Times New Roman"/>
          <w:sz w:val="24"/>
          <w:szCs w:val="24"/>
        </w:rPr>
      </w:pPr>
      <w:r w:rsidRPr="006053F1">
        <w:rPr>
          <w:rFonts w:ascii="Times New Roman" w:hAnsi="Times New Roman" w:cs="Times New Roman"/>
          <w:sz w:val="24"/>
          <w:szCs w:val="24"/>
        </w:rPr>
        <w:t>FUENTE: Departamento de Educación de EE. UU., Centro Nacional de Estadísticas de Educación, Sistema Integrado de Datos de Educación Postsecundaria (IPEDS</w:t>
      </w:r>
      <w:r w:rsidR="00FF32F4">
        <w:rPr>
          <w:rFonts w:ascii="Times New Roman" w:hAnsi="Times New Roman" w:cs="Times New Roman"/>
          <w:sz w:val="24"/>
          <w:szCs w:val="24"/>
        </w:rPr>
        <w:t xml:space="preserve">, </w:t>
      </w:r>
      <w:r w:rsidR="00CB3043">
        <w:rPr>
          <w:rFonts w:ascii="Times New Roman" w:hAnsi="Times New Roman" w:cs="Times New Roman"/>
          <w:sz w:val="24"/>
          <w:szCs w:val="24"/>
        </w:rPr>
        <w:t>2024</w:t>
      </w:r>
      <w:r w:rsidRPr="006053F1">
        <w:rPr>
          <w:rFonts w:ascii="Times New Roman" w:hAnsi="Times New Roman" w:cs="Times New Roman"/>
          <w:sz w:val="24"/>
          <w:szCs w:val="24"/>
        </w:rPr>
        <w:t>), primavera de 2011, primavera de 2020 y primavera de 2022, componente de inscripción de otoño. Consulte el Compendio de Estadísticas de Educación 2022, tabla 306.</w:t>
      </w:r>
      <w:r w:rsidR="00AE045E">
        <w:rPr>
          <w:rFonts w:ascii="Times New Roman" w:hAnsi="Times New Roman" w:cs="Times New Roman"/>
          <w:sz w:val="24"/>
          <w:szCs w:val="24"/>
        </w:rPr>
        <w:t>7</w:t>
      </w:r>
      <w:r w:rsidRPr="006053F1">
        <w:rPr>
          <w:rFonts w:ascii="Times New Roman" w:hAnsi="Times New Roman" w:cs="Times New Roman"/>
          <w:sz w:val="24"/>
          <w:szCs w:val="24"/>
        </w:rPr>
        <w:t>0.</w:t>
      </w:r>
    </w:p>
    <w:p w14:paraId="5F8C21F0" w14:textId="4277510E" w:rsidR="00C03932" w:rsidRPr="003E7A82" w:rsidRDefault="00BD4B35"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 xml:space="preserve">Dada las condiciones macroeconómicas cambiantes, así como el perfil sociodemográfico de los países, </w:t>
      </w:r>
      <w:r w:rsidR="006246E7" w:rsidRPr="003E7A82">
        <w:rPr>
          <w:rFonts w:ascii="Times New Roman" w:hAnsi="Times New Roman" w:cs="Times New Roman"/>
          <w:sz w:val="24"/>
          <w:szCs w:val="24"/>
        </w:rPr>
        <w:t>se hace necesario contar con órganos autónomos que visualicen de manera transversal y a través del tiempo</w:t>
      </w:r>
      <w:r w:rsidR="00BC0B87" w:rsidRPr="003E7A82">
        <w:rPr>
          <w:rFonts w:ascii="Times New Roman" w:hAnsi="Times New Roman" w:cs="Times New Roman"/>
          <w:sz w:val="24"/>
          <w:szCs w:val="24"/>
        </w:rPr>
        <w:t xml:space="preserve">, como se </w:t>
      </w:r>
      <w:r w:rsidR="00A26AC4" w:rsidRPr="003E7A82">
        <w:rPr>
          <w:rFonts w:ascii="Times New Roman" w:hAnsi="Times New Roman" w:cs="Times New Roman"/>
          <w:sz w:val="24"/>
          <w:szCs w:val="24"/>
        </w:rPr>
        <w:t>debe orientar la matrícula, puede haber por ejemplo mayor necesidad de personal de salud ante la pandemia provocada por el COVID.</w:t>
      </w:r>
    </w:p>
    <w:p w14:paraId="27CABE22" w14:textId="6E616528" w:rsidR="0001597B" w:rsidRPr="003E7A82" w:rsidRDefault="0001597B"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 xml:space="preserve">A este respecto se puede citar lo acontecido en los Estados Unidos, </w:t>
      </w:r>
      <w:r w:rsidR="001E3FD9" w:rsidRPr="003E7A82">
        <w:rPr>
          <w:rFonts w:ascii="Times New Roman" w:hAnsi="Times New Roman" w:cs="Times New Roman"/>
          <w:sz w:val="24"/>
          <w:szCs w:val="24"/>
        </w:rPr>
        <w:t xml:space="preserve">donde según </w:t>
      </w:r>
      <w:r w:rsidR="00DB3579" w:rsidRPr="00310679">
        <w:rPr>
          <w:rFonts w:ascii="Times New Roman" w:hAnsi="Times New Roman" w:cs="Times New Roman"/>
          <w:sz w:val="24"/>
          <w:szCs w:val="24"/>
        </w:rPr>
        <w:t xml:space="preserve">señala </w:t>
      </w:r>
      <w:proofErr w:type="spellStart"/>
      <w:r w:rsidR="001E3FD9" w:rsidRPr="00310679">
        <w:rPr>
          <w:rFonts w:ascii="Times New Roman" w:hAnsi="Times New Roman" w:cs="Times New Roman"/>
          <w:sz w:val="24"/>
          <w:szCs w:val="24"/>
        </w:rPr>
        <w:t>Japsen</w:t>
      </w:r>
      <w:proofErr w:type="spellEnd"/>
      <w:r w:rsidR="009C1C4A" w:rsidRPr="00310679">
        <w:rPr>
          <w:rFonts w:ascii="Times New Roman" w:hAnsi="Times New Roman" w:cs="Times New Roman"/>
          <w:sz w:val="24"/>
          <w:szCs w:val="24"/>
        </w:rPr>
        <w:t xml:space="preserve"> (2020), conforme aumentó </w:t>
      </w:r>
      <w:r w:rsidR="00BE6D56" w:rsidRPr="00310679">
        <w:rPr>
          <w:rFonts w:ascii="Times New Roman" w:hAnsi="Times New Roman" w:cs="Times New Roman"/>
          <w:sz w:val="24"/>
          <w:szCs w:val="24"/>
        </w:rPr>
        <w:t xml:space="preserve">el número de casos de contagio por el coronavirus COVID-19, </w:t>
      </w:r>
      <w:r w:rsidR="004234CC" w:rsidRPr="00310679">
        <w:rPr>
          <w:rFonts w:ascii="Times New Roman" w:hAnsi="Times New Roman" w:cs="Times New Roman"/>
          <w:sz w:val="24"/>
          <w:szCs w:val="24"/>
        </w:rPr>
        <w:t xml:space="preserve">la capacidad de los </w:t>
      </w:r>
      <w:r w:rsidRPr="00310679">
        <w:rPr>
          <w:rFonts w:ascii="Times New Roman" w:hAnsi="Times New Roman" w:cs="Times New Roman"/>
          <w:sz w:val="24"/>
          <w:szCs w:val="24"/>
        </w:rPr>
        <w:t>médico</w:t>
      </w:r>
      <w:r w:rsidR="004234CC" w:rsidRPr="00310679">
        <w:rPr>
          <w:rFonts w:ascii="Times New Roman" w:hAnsi="Times New Roman" w:cs="Times New Roman"/>
          <w:sz w:val="24"/>
          <w:szCs w:val="24"/>
        </w:rPr>
        <w:t>s</w:t>
      </w:r>
      <w:r w:rsidR="00B82DAE" w:rsidRPr="00310679">
        <w:rPr>
          <w:rFonts w:ascii="Times New Roman" w:hAnsi="Times New Roman" w:cs="Times New Roman"/>
          <w:sz w:val="24"/>
          <w:szCs w:val="24"/>
        </w:rPr>
        <w:t xml:space="preserve"> en los Estado</w:t>
      </w:r>
      <w:r w:rsidR="00DB3579" w:rsidRPr="00310679">
        <w:rPr>
          <w:rFonts w:ascii="Times New Roman" w:hAnsi="Times New Roman" w:cs="Times New Roman"/>
          <w:sz w:val="24"/>
          <w:szCs w:val="24"/>
        </w:rPr>
        <w:t>s</w:t>
      </w:r>
      <w:r w:rsidR="00B82DAE" w:rsidRPr="00310679">
        <w:rPr>
          <w:rFonts w:ascii="Times New Roman" w:hAnsi="Times New Roman" w:cs="Times New Roman"/>
          <w:sz w:val="24"/>
          <w:szCs w:val="24"/>
        </w:rPr>
        <w:t xml:space="preserve"> Unidos cayó dr</w:t>
      </w:r>
      <w:r w:rsidR="00EE2873" w:rsidRPr="00310679">
        <w:rPr>
          <w:rFonts w:ascii="Times New Roman" w:hAnsi="Times New Roman" w:cs="Times New Roman"/>
          <w:sz w:val="24"/>
          <w:szCs w:val="24"/>
        </w:rPr>
        <w:t>a</w:t>
      </w:r>
      <w:r w:rsidR="00B82DAE" w:rsidRPr="00310679">
        <w:rPr>
          <w:rFonts w:ascii="Times New Roman" w:hAnsi="Times New Roman" w:cs="Times New Roman"/>
          <w:sz w:val="24"/>
          <w:szCs w:val="24"/>
        </w:rPr>
        <w:t>m</w:t>
      </w:r>
      <w:r w:rsidR="00EE2873" w:rsidRPr="00310679">
        <w:rPr>
          <w:rFonts w:ascii="Times New Roman" w:hAnsi="Times New Roman" w:cs="Times New Roman"/>
          <w:sz w:val="24"/>
          <w:szCs w:val="24"/>
        </w:rPr>
        <w:t>á</w:t>
      </w:r>
      <w:r w:rsidR="00B82DAE" w:rsidRPr="00310679">
        <w:rPr>
          <w:rFonts w:ascii="Times New Roman" w:hAnsi="Times New Roman" w:cs="Times New Roman"/>
          <w:sz w:val="24"/>
          <w:szCs w:val="24"/>
        </w:rPr>
        <w:t>ticamente</w:t>
      </w:r>
      <w:r w:rsidR="00EE2873" w:rsidRPr="00310679">
        <w:rPr>
          <w:rFonts w:ascii="Times New Roman" w:hAnsi="Times New Roman" w:cs="Times New Roman"/>
          <w:sz w:val="24"/>
          <w:szCs w:val="24"/>
        </w:rPr>
        <w:t>, ya que</w:t>
      </w:r>
      <w:r w:rsidR="00EE2873" w:rsidRPr="003E7A82">
        <w:rPr>
          <w:rFonts w:ascii="Times New Roman" w:hAnsi="Times New Roman" w:cs="Times New Roman"/>
          <w:sz w:val="24"/>
          <w:szCs w:val="24"/>
        </w:rPr>
        <w:t xml:space="preserve"> los hospitales</w:t>
      </w:r>
      <w:r w:rsidR="00F17CD1" w:rsidRPr="003E7A82">
        <w:rPr>
          <w:rFonts w:ascii="Times New Roman" w:hAnsi="Times New Roman" w:cs="Times New Roman"/>
          <w:sz w:val="24"/>
          <w:szCs w:val="24"/>
        </w:rPr>
        <w:t xml:space="preserve"> </w:t>
      </w:r>
      <w:r w:rsidR="00F17CD1" w:rsidRPr="003E7A82">
        <w:rPr>
          <w:rFonts w:ascii="Times New Roman" w:hAnsi="Times New Roman" w:cs="Times New Roman"/>
          <w:sz w:val="24"/>
          <w:szCs w:val="24"/>
        </w:rPr>
        <w:lastRenderedPageBreak/>
        <w:t>redujeron sus consultas en persona y los</w:t>
      </w:r>
      <w:r w:rsidR="0042624F" w:rsidRPr="003E7A82">
        <w:rPr>
          <w:rFonts w:ascii="Times New Roman" w:hAnsi="Times New Roman" w:cs="Times New Roman"/>
          <w:sz w:val="24"/>
          <w:szCs w:val="24"/>
        </w:rPr>
        <w:t xml:space="preserve"> centros de salud tuvieron que cerrar, por instrucciones</w:t>
      </w:r>
      <w:r w:rsidR="0071689F" w:rsidRPr="003E7A82">
        <w:rPr>
          <w:rFonts w:ascii="Times New Roman" w:hAnsi="Times New Roman" w:cs="Times New Roman"/>
          <w:sz w:val="24"/>
          <w:szCs w:val="24"/>
        </w:rPr>
        <w:t xml:space="preserve"> de confinamiento</w:t>
      </w:r>
      <w:r w:rsidR="00180704" w:rsidRPr="003E7A82">
        <w:rPr>
          <w:rFonts w:ascii="Times New Roman" w:hAnsi="Times New Roman" w:cs="Times New Roman"/>
          <w:sz w:val="24"/>
          <w:szCs w:val="24"/>
        </w:rPr>
        <w:t>, de manera que los médicos redujeron sus horas de servicio</w:t>
      </w:r>
      <w:r w:rsidR="00BE3BD7" w:rsidRPr="003E7A82">
        <w:rPr>
          <w:rFonts w:ascii="Times New Roman" w:hAnsi="Times New Roman" w:cs="Times New Roman"/>
          <w:sz w:val="24"/>
          <w:szCs w:val="24"/>
        </w:rPr>
        <w:t>, perdieron sus empleos o inclusive fueron afectados por la enfermedad</w:t>
      </w:r>
      <w:r w:rsidR="00F7020B" w:rsidRPr="003E7A82">
        <w:rPr>
          <w:rFonts w:ascii="Times New Roman" w:hAnsi="Times New Roman" w:cs="Times New Roman"/>
          <w:sz w:val="24"/>
          <w:szCs w:val="24"/>
        </w:rPr>
        <w:t xml:space="preserve">, por lo cual se redujo </w:t>
      </w:r>
      <w:r w:rsidR="00AE34D5" w:rsidRPr="003E7A82">
        <w:rPr>
          <w:rFonts w:ascii="Times New Roman" w:hAnsi="Times New Roman" w:cs="Times New Roman"/>
          <w:sz w:val="24"/>
          <w:szCs w:val="24"/>
        </w:rPr>
        <w:t>el reclutamiento de médicos y practicantes avanzados</w:t>
      </w:r>
      <w:r w:rsidR="00F7020B" w:rsidRPr="003E7A82">
        <w:rPr>
          <w:rFonts w:ascii="Times New Roman" w:hAnsi="Times New Roman" w:cs="Times New Roman"/>
          <w:sz w:val="24"/>
          <w:szCs w:val="24"/>
        </w:rPr>
        <w:t xml:space="preserve"> (Merritt Hawkins, 2020).</w:t>
      </w:r>
      <w:r w:rsidR="00F00052" w:rsidRPr="003E7A82">
        <w:rPr>
          <w:rFonts w:ascii="Times New Roman" w:hAnsi="Times New Roman" w:cs="Times New Roman"/>
          <w:sz w:val="24"/>
          <w:szCs w:val="24"/>
        </w:rPr>
        <w:t xml:space="preserve"> Este es sólo un caso en el que son las autoridades gubernamentales las que p</w:t>
      </w:r>
      <w:r w:rsidR="00673BE3" w:rsidRPr="003E7A82">
        <w:rPr>
          <w:rFonts w:ascii="Times New Roman" w:hAnsi="Times New Roman" w:cs="Times New Roman"/>
          <w:sz w:val="24"/>
          <w:szCs w:val="24"/>
        </w:rPr>
        <w:t>ueden dar una señal de hasta donde debe llegar el compromiso social de la</w:t>
      </w:r>
      <w:r w:rsidR="000906C5" w:rsidRPr="003E7A82">
        <w:rPr>
          <w:rFonts w:ascii="Times New Roman" w:hAnsi="Times New Roman" w:cs="Times New Roman"/>
          <w:sz w:val="24"/>
          <w:szCs w:val="24"/>
        </w:rPr>
        <w:t>s</w:t>
      </w:r>
      <w:r w:rsidR="00673BE3" w:rsidRPr="003E7A82">
        <w:rPr>
          <w:rFonts w:ascii="Times New Roman" w:hAnsi="Times New Roman" w:cs="Times New Roman"/>
          <w:sz w:val="24"/>
          <w:szCs w:val="24"/>
        </w:rPr>
        <w:t xml:space="preserve"> instituciones de educación superior, asimismo es un caso que ilustra la importancia de la internacionalización</w:t>
      </w:r>
      <w:r w:rsidR="000906C5" w:rsidRPr="003E7A82">
        <w:rPr>
          <w:rFonts w:ascii="Times New Roman" w:hAnsi="Times New Roman" w:cs="Times New Roman"/>
          <w:sz w:val="24"/>
          <w:szCs w:val="24"/>
        </w:rPr>
        <w:t xml:space="preserve"> en cuanto a la forma de atender una situación de esta naturaleza.</w:t>
      </w:r>
    </w:p>
    <w:p w14:paraId="451BD108" w14:textId="68AC2EB3" w:rsidR="00B24840" w:rsidRPr="003E7A82" w:rsidRDefault="00B24840"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En lo que se refiere a</w:t>
      </w:r>
      <w:r w:rsidR="00033EA1" w:rsidRPr="003E7A82">
        <w:rPr>
          <w:rFonts w:ascii="Times New Roman" w:hAnsi="Times New Roman" w:cs="Times New Roman"/>
          <w:sz w:val="24"/>
          <w:szCs w:val="24"/>
        </w:rPr>
        <w:t xml:space="preserve">l déficit en la infraestructura y capital humano en las universidades públicas, es algo </w:t>
      </w:r>
      <w:r w:rsidR="006166C7" w:rsidRPr="003E7A82">
        <w:rPr>
          <w:rFonts w:ascii="Times New Roman" w:hAnsi="Times New Roman" w:cs="Times New Roman"/>
          <w:sz w:val="24"/>
          <w:szCs w:val="24"/>
        </w:rPr>
        <w:t xml:space="preserve">en donde la internacionalización </w:t>
      </w:r>
      <w:r w:rsidR="003E74ED" w:rsidRPr="003E7A82">
        <w:rPr>
          <w:rFonts w:ascii="Times New Roman" w:hAnsi="Times New Roman" w:cs="Times New Roman"/>
          <w:sz w:val="24"/>
          <w:szCs w:val="24"/>
        </w:rPr>
        <w:t>aporta modelos interesantes por considerar, ya que hay países en donde se admite el modelo híbrido de educación superior</w:t>
      </w:r>
      <w:r w:rsidR="00913DC7" w:rsidRPr="003E7A82">
        <w:rPr>
          <w:rFonts w:ascii="Times New Roman" w:hAnsi="Times New Roman" w:cs="Times New Roman"/>
          <w:sz w:val="24"/>
          <w:szCs w:val="24"/>
        </w:rPr>
        <w:t xml:space="preserve"> pública de menor costo que la educación superior privada que </w:t>
      </w:r>
      <w:r w:rsidR="002409A0" w:rsidRPr="003E7A82">
        <w:rPr>
          <w:rFonts w:ascii="Times New Roman" w:hAnsi="Times New Roman" w:cs="Times New Roman"/>
          <w:sz w:val="24"/>
          <w:szCs w:val="24"/>
        </w:rPr>
        <w:t>representa un mayor costo, pero a su vez mejor acceso al mercado laboral</w:t>
      </w:r>
      <w:r w:rsidR="0042296C" w:rsidRPr="003E7A82">
        <w:rPr>
          <w:rFonts w:ascii="Times New Roman" w:hAnsi="Times New Roman" w:cs="Times New Roman"/>
          <w:sz w:val="24"/>
          <w:szCs w:val="24"/>
        </w:rPr>
        <w:t xml:space="preserve"> como sucede en México y los Estados Unidos, o bien </w:t>
      </w:r>
      <w:r w:rsidR="0066713D" w:rsidRPr="003E7A82">
        <w:rPr>
          <w:rFonts w:ascii="Times New Roman" w:hAnsi="Times New Roman" w:cs="Times New Roman"/>
          <w:sz w:val="24"/>
          <w:szCs w:val="24"/>
        </w:rPr>
        <w:t>considerar modelos más restrictivos hacia la educación superior</w:t>
      </w:r>
      <w:r w:rsidR="00B837C4" w:rsidRPr="003E7A82">
        <w:rPr>
          <w:rFonts w:ascii="Times New Roman" w:hAnsi="Times New Roman" w:cs="Times New Roman"/>
          <w:sz w:val="24"/>
          <w:szCs w:val="24"/>
        </w:rPr>
        <w:t xml:space="preserve"> pública como sucede en Alemania, Dinamarca, Noruega y Suecia.</w:t>
      </w:r>
    </w:p>
    <w:p w14:paraId="19EA4659" w14:textId="2FB94169" w:rsidR="009802B6" w:rsidRPr="003E7A82" w:rsidRDefault="005E55FF"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El f</w:t>
      </w:r>
      <w:r w:rsidR="009802B6" w:rsidRPr="003E7A82">
        <w:rPr>
          <w:rFonts w:ascii="Times New Roman" w:hAnsi="Times New Roman" w:cs="Times New Roman"/>
          <w:sz w:val="24"/>
          <w:szCs w:val="24"/>
        </w:rPr>
        <w:t>inancia</w:t>
      </w:r>
      <w:r w:rsidRPr="003E7A82">
        <w:rPr>
          <w:rFonts w:ascii="Times New Roman" w:hAnsi="Times New Roman" w:cs="Times New Roman"/>
          <w:sz w:val="24"/>
          <w:szCs w:val="24"/>
        </w:rPr>
        <w:t>miento de la educación es comparable con el de una gran</w:t>
      </w:r>
      <w:r w:rsidR="009802B6" w:rsidRPr="003E7A82">
        <w:rPr>
          <w:rFonts w:ascii="Times New Roman" w:hAnsi="Times New Roman" w:cs="Times New Roman"/>
          <w:sz w:val="24"/>
          <w:szCs w:val="24"/>
        </w:rPr>
        <w:t xml:space="preserve"> industria</w:t>
      </w:r>
      <w:r w:rsidR="009C1258" w:rsidRPr="003E7A82">
        <w:rPr>
          <w:rFonts w:ascii="Times New Roman" w:hAnsi="Times New Roman" w:cs="Times New Roman"/>
          <w:sz w:val="24"/>
          <w:szCs w:val="24"/>
        </w:rPr>
        <w:t xml:space="preserve"> y representa</w:t>
      </w:r>
      <w:r w:rsidR="00086BF2" w:rsidRPr="003E7A82">
        <w:rPr>
          <w:rFonts w:ascii="Times New Roman" w:hAnsi="Times New Roman" w:cs="Times New Roman"/>
          <w:sz w:val="24"/>
          <w:szCs w:val="24"/>
        </w:rPr>
        <w:t xml:space="preserve"> </w:t>
      </w:r>
      <w:r w:rsidR="009802B6" w:rsidRPr="003E7A82">
        <w:rPr>
          <w:rFonts w:ascii="Times New Roman" w:hAnsi="Times New Roman" w:cs="Times New Roman"/>
          <w:sz w:val="24"/>
          <w:szCs w:val="24"/>
        </w:rPr>
        <w:t xml:space="preserve">un desafío y un tema </w:t>
      </w:r>
      <w:r w:rsidR="009C1258" w:rsidRPr="003E7A82">
        <w:rPr>
          <w:rFonts w:ascii="Times New Roman" w:hAnsi="Times New Roman" w:cs="Times New Roman"/>
          <w:sz w:val="24"/>
          <w:szCs w:val="24"/>
        </w:rPr>
        <w:t xml:space="preserve">de gran </w:t>
      </w:r>
      <w:r w:rsidR="009802B6" w:rsidRPr="003E7A82">
        <w:rPr>
          <w:rFonts w:ascii="Times New Roman" w:hAnsi="Times New Roman" w:cs="Times New Roman"/>
          <w:sz w:val="24"/>
          <w:szCs w:val="24"/>
        </w:rPr>
        <w:t>controversia</w:t>
      </w:r>
      <w:r w:rsidR="009D0FEB" w:rsidRPr="003E7A82">
        <w:rPr>
          <w:rFonts w:ascii="Times New Roman" w:hAnsi="Times New Roman" w:cs="Times New Roman"/>
          <w:sz w:val="24"/>
          <w:szCs w:val="24"/>
        </w:rPr>
        <w:t xml:space="preserve"> (</w:t>
      </w:r>
      <w:proofErr w:type="spellStart"/>
      <w:r w:rsidR="009D0FEB" w:rsidRPr="003E7A82">
        <w:rPr>
          <w:rFonts w:ascii="Times New Roman" w:hAnsi="Times New Roman" w:cs="Times New Roman"/>
          <w:sz w:val="24"/>
          <w:szCs w:val="24"/>
        </w:rPr>
        <w:t>Altbach</w:t>
      </w:r>
      <w:proofErr w:type="spellEnd"/>
      <w:r w:rsidR="009D0FEB" w:rsidRPr="003E7A82">
        <w:rPr>
          <w:rFonts w:ascii="Times New Roman" w:hAnsi="Times New Roman" w:cs="Times New Roman"/>
          <w:sz w:val="24"/>
          <w:szCs w:val="24"/>
        </w:rPr>
        <w:t xml:space="preserve"> </w:t>
      </w:r>
      <w:r w:rsidR="009D0FEB" w:rsidRPr="003E7A82">
        <w:rPr>
          <w:rFonts w:ascii="Times New Roman" w:hAnsi="Times New Roman" w:cs="Times New Roman"/>
          <w:i/>
          <w:iCs/>
          <w:sz w:val="24"/>
          <w:szCs w:val="24"/>
        </w:rPr>
        <w:t>et al</w:t>
      </w:r>
      <w:r w:rsidR="009D0FEB" w:rsidRPr="003E7A82">
        <w:rPr>
          <w:rFonts w:ascii="Times New Roman" w:hAnsi="Times New Roman" w:cs="Times New Roman"/>
          <w:sz w:val="24"/>
          <w:szCs w:val="24"/>
        </w:rPr>
        <w:t>.</w:t>
      </w:r>
      <w:r w:rsidR="009315A3" w:rsidRPr="003E7A82">
        <w:rPr>
          <w:rFonts w:ascii="Times New Roman" w:hAnsi="Times New Roman" w:cs="Times New Roman"/>
          <w:sz w:val="24"/>
          <w:szCs w:val="24"/>
        </w:rPr>
        <w:t>, 2021)</w:t>
      </w:r>
      <w:r w:rsidR="009802B6" w:rsidRPr="003E7A82">
        <w:rPr>
          <w:rFonts w:ascii="Times New Roman" w:hAnsi="Times New Roman" w:cs="Times New Roman"/>
          <w:sz w:val="24"/>
          <w:szCs w:val="24"/>
        </w:rPr>
        <w:t xml:space="preserve">. </w:t>
      </w:r>
      <w:r w:rsidR="009315A3" w:rsidRPr="003E7A82">
        <w:rPr>
          <w:rFonts w:ascii="Times New Roman" w:hAnsi="Times New Roman" w:cs="Times New Roman"/>
          <w:sz w:val="24"/>
          <w:szCs w:val="24"/>
        </w:rPr>
        <w:t xml:space="preserve">Mientras </w:t>
      </w:r>
      <w:r w:rsidR="009802B6" w:rsidRPr="003E7A82">
        <w:rPr>
          <w:rFonts w:ascii="Times New Roman" w:hAnsi="Times New Roman" w:cs="Times New Roman"/>
          <w:sz w:val="24"/>
          <w:szCs w:val="24"/>
        </w:rPr>
        <w:t xml:space="preserve">la academia </w:t>
      </w:r>
      <w:r w:rsidR="009315A3" w:rsidRPr="003E7A82">
        <w:rPr>
          <w:rFonts w:ascii="Times New Roman" w:hAnsi="Times New Roman" w:cs="Times New Roman"/>
          <w:sz w:val="24"/>
          <w:szCs w:val="24"/>
        </w:rPr>
        <w:t xml:space="preserve">atendía </w:t>
      </w:r>
      <w:r w:rsidR="00086BF2" w:rsidRPr="003E7A82">
        <w:rPr>
          <w:rFonts w:ascii="Times New Roman" w:hAnsi="Times New Roman" w:cs="Times New Roman"/>
          <w:sz w:val="24"/>
          <w:szCs w:val="24"/>
        </w:rPr>
        <w:t>a un sector reducido de la</w:t>
      </w:r>
      <w:r w:rsidR="009802B6" w:rsidRPr="003E7A82">
        <w:rPr>
          <w:rFonts w:ascii="Times New Roman" w:hAnsi="Times New Roman" w:cs="Times New Roman"/>
          <w:sz w:val="24"/>
          <w:szCs w:val="24"/>
        </w:rPr>
        <w:t xml:space="preserve"> población y la investigación </w:t>
      </w:r>
      <w:r w:rsidR="00086BF2" w:rsidRPr="003E7A82">
        <w:rPr>
          <w:rFonts w:ascii="Times New Roman" w:hAnsi="Times New Roman" w:cs="Times New Roman"/>
          <w:sz w:val="24"/>
          <w:szCs w:val="24"/>
        </w:rPr>
        <w:t>se llevaba a cabo en otras</w:t>
      </w:r>
      <w:r w:rsidR="00135AF3" w:rsidRPr="003E7A82">
        <w:rPr>
          <w:rFonts w:ascii="Times New Roman" w:hAnsi="Times New Roman" w:cs="Times New Roman"/>
          <w:sz w:val="24"/>
          <w:szCs w:val="24"/>
        </w:rPr>
        <w:t xml:space="preserve"> organizaciones, esto no representó un reto mayor, </w:t>
      </w:r>
      <w:r w:rsidR="00A32C8C" w:rsidRPr="003E7A82">
        <w:rPr>
          <w:rFonts w:ascii="Times New Roman" w:hAnsi="Times New Roman" w:cs="Times New Roman"/>
          <w:sz w:val="24"/>
          <w:szCs w:val="24"/>
        </w:rPr>
        <w:t>pero en cuanto</w:t>
      </w:r>
      <w:r w:rsidR="009802B6" w:rsidRPr="003E7A82">
        <w:rPr>
          <w:rFonts w:ascii="Times New Roman" w:hAnsi="Times New Roman" w:cs="Times New Roman"/>
          <w:sz w:val="24"/>
          <w:szCs w:val="24"/>
        </w:rPr>
        <w:t xml:space="preserve"> la educación superior se </w:t>
      </w:r>
      <w:r w:rsidR="00A32C8C" w:rsidRPr="003E7A82">
        <w:rPr>
          <w:rFonts w:ascii="Times New Roman" w:hAnsi="Times New Roman" w:cs="Times New Roman"/>
          <w:sz w:val="24"/>
          <w:szCs w:val="24"/>
        </w:rPr>
        <w:t xml:space="preserve">desplazó al corazón de las sociedades en evolución </w:t>
      </w:r>
      <w:r w:rsidR="0067635F" w:rsidRPr="003E7A82">
        <w:rPr>
          <w:rFonts w:ascii="Times New Roman" w:hAnsi="Times New Roman" w:cs="Times New Roman"/>
          <w:sz w:val="24"/>
          <w:szCs w:val="24"/>
        </w:rPr>
        <w:t>este se ha convertido en un asunto de mayor relevancia</w:t>
      </w:r>
      <w:r w:rsidR="00F12F0D" w:rsidRPr="003E7A82">
        <w:rPr>
          <w:rFonts w:ascii="Times New Roman" w:hAnsi="Times New Roman" w:cs="Times New Roman"/>
          <w:sz w:val="24"/>
          <w:szCs w:val="24"/>
        </w:rPr>
        <w:t xml:space="preserve">, </w:t>
      </w:r>
      <w:r w:rsidR="00E673FB" w:rsidRPr="003E7A82">
        <w:rPr>
          <w:rFonts w:ascii="Times New Roman" w:hAnsi="Times New Roman" w:cs="Times New Roman"/>
          <w:sz w:val="24"/>
          <w:szCs w:val="24"/>
        </w:rPr>
        <w:t>d</w:t>
      </w:r>
      <w:r w:rsidR="00F12F0D" w:rsidRPr="003E7A82">
        <w:rPr>
          <w:rFonts w:ascii="Times New Roman" w:hAnsi="Times New Roman" w:cs="Times New Roman"/>
          <w:sz w:val="24"/>
          <w:szCs w:val="24"/>
        </w:rPr>
        <w:t xml:space="preserve">e forma que </w:t>
      </w:r>
      <w:r w:rsidR="009802B6" w:rsidRPr="003E7A82">
        <w:rPr>
          <w:rFonts w:ascii="Times New Roman" w:hAnsi="Times New Roman" w:cs="Times New Roman"/>
          <w:sz w:val="24"/>
          <w:szCs w:val="24"/>
        </w:rPr>
        <w:t xml:space="preserve">en </w:t>
      </w:r>
      <w:r w:rsidR="00F12F0D" w:rsidRPr="003E7A82">
        <w:rPr>
          <w:rFonts w:ascii="Times New Roman" w:hAnsi="Times New Roman" w:cs="Times New Roman"/>
          <w:sz w:val="24"/>
          <w:szCs w:val="24"/>
        </w:rPr>
        <w:t>este</w:t>
      </w:r>
      <w:r w:rsidR="009802B6" w:rsidRPr="003E7A82">
        <w:rPr>
          <w:rFonts w:ascii="Times New Roman" w:hAnsi="Times New Roman" w:cs="Times New Roman"/>
          <w:sz w:val="24"/>
          <w:szCs w:val="24"/>
        </w:rPr>
        <w:t xml:space="preserve"> siglo XXI</w:t>
      </w:r>
      <w:r w:rsidR="00F12F0D" w:rsidRPr="003E7A82">
        <w:rPr>
          <w:rFonts w:ascii="Times New Roman" w:hAnsi="Times New Roman" w:cs="Times New Roman"/>
          <w:sz w:val="24"/>
          <w:szCs w:val="24"/>
        </w:rPr>
        <w:t xml:space="preserve">, hay un consenso en cuanto a la asignación de recursos públicos y privados para su desarrollo, afirman </w:t>
      </w:r>
      <w:proofErr w:type="spellStart"/>
      <w:r w:rsidR="00F12F0D" w:rsidRPr="003E7A82">
        <w:rPr>
          <w:rFonts w:ascii="Times New Roman" w:hAnsi="Times New Roman" w:cs="Times New Roman"/>
          <w:sz w:val="24"/>
          <w:szCs w:val="24"/>
        </w:rPr>
        <w:t>Altbach</w:t>
      </w:r>
      <w:proofErr w:type="spellEnd"/>
      <w:r w:rsidR="00F12F0D" w:rsidRPr="003E7A82">
        <w:rPr>
          <w:rFonts w:ascii="Times New Roman" w:hAnsi="Times New Roman" w:cs="Times New Roman"/>
          <w:sz w:val="24"/>
          <w:szCs w:val="24"/>
        </w:rPr>
        <w:t xml:space="preserve"> </w:t>
      </w:r>
      <w:r w:rsidR="00F12F0D" w:rsidRPr="003E7A82">
        <w:rPr>
          <w:rFonts w:ascii="Times New Roman" w:hAnsi="Times New Roman" w:cs="Times New Roman"/>
          <w:i/>
          <w:iCs/>
          <w:sz w:val="24"/>
          <w:szCs w:val="24"/>
        </w:rPr>
        <w:t>et al</w:t>
      </w:r>
      <w:r w:rsidR="00551E8E" w:rsidRPr="003E7A82">
        <w:rPr>
          <w:rFonts w:ascii="Times New Roman" w:hAnsi="Times New Roman" w:cs="Times New Roman"/>
          <w:sz w:val="24"/>
          <w:szCs w:val="24"/>
        </w:rPr>
        <w:t>.</w:t>
      </w:r>
      <w:r w:rsidR="00F12F0D" w:rsidRPr="003E7A82">
        <w:rPr>
          <w:rFonts w:ascii="Times New Roman" w:hAnsi="Times New Roman" w:cs="Times New Roman"/>
          <w:sz w:val="24"/>
          <w:szCs w:val="24"/>
        </w:rPr>
        <w:t xml:space="preserve"> (2021)</w:t>
      </w:r>
      <w:r w:rsidR="009802B6" w:rsidRPr="003E7A82">
        <w:rPr>
          <w:rFonts w:ascii="Times New Roman" w:hAnsi="Times New Roman" w:cs="Times New Roman"/>
          <w:sz w:val="24"/>
          <w:szCs w:val="24"/>
        </w:rPr>
        <w:t xml:space="preserve">. </w:t>
      </w:r>
      <w:r w:rsidR="00675F1D" w:rsidRPr="003E7A82">
        <w:rPr>
          <w:rFonts w:ascii="Times New Roman" w:hAnsi="Times New Roman" w:cs="Times New Roman"/>
          <w:sz w:val="24"/>
          <w:szCs w:val="24"/>
        </w:rPr>
        <w:t>Esto conlleva a cuestionamientos relativos en cuanto a lo que los deben aportar para</w:t>
      </w:r>
      <w:r w:rsidR="008B76B9" w:rsidRPr="003E7A82">
        <w:rPr>
          <w:rFonts w:ascii="Times New Roman" w:hAnsi="Times New Roman" w:cs="Times New Roman"/>
          <w:sz w:val="24"/>
          <w:szCs w:val="24"/>
        </w:rPr>
        <w:t xml:space="preserve"> alcanzar una</w:t>
      </w:r>
      <w:r w:rsidR="009802B6" w:rsidRPr="003E7A82">
        <w:rPr>
          <w:rFonts w:ascii="Times New Roman" w:hAnsi="Times New Roman" w:cs="Times New Roman"/>
          <w:sz w:val="24"/>
          <w:szCs w:val="24"/>
        </w:rPr>
        <w:t xml:space="preserve"> educación superior</w:t>
      </w:r>
      <w:r w:rsidR="008B76B9" w:rsidRPr="003E7A82">
        <w:rPr>
          <w:rFonts w:ascii="Times New Roman" w:hAnsi="Times New Roman" w:cs="Times New Roman"/>
          <w:sz w:val="24"/>
          <w:szCs w:val="24"/>
        </w:rPr>
        <w:t xml:space="preserve"> acorde al perfil profesional que persiguen, lo cual</w:t>
      </w:r>
      <w:r w:rsidR="009802B6" w:rsidRPr="003E7A82">
        <w:rPr>
          <w:rFonts w:ascii="Times New Roman" w:hAnsi="Times New Roman" w:cs="Times New Roman"/>
          <w:sz w:val="24"/>
          <w:szCs w:val="24"/>
        </w:rPr>
        <w:t xml:space="preserve"> debería ser </w:t>
      </w:r>
      <w:r w:rsidR="00E63E66" w:rsidRPr="003E7A82">
        <w:rPr>
          <w:rFonts w:ascii="Times New Roman" w:hAnsi="Times New Roman" w:cs="Times New Roman"/>
          <w:sz w:val="24"/>
          <w:szCs w:val="24"/>
        </w:rPr>
        <w:t>una responsabilidad</w:t>
      </w:r>
      <w:r w:rsidR="009802B6" w:rsidRPr="003E7A82">
        <w:rPr>
          <w:rFonts w:ascii="Times New Roman" w:hAnsi="Times New Roman" w:cs="Times New Roman"/>
          <w:sz w:val="24"/>
          <w:szCs w:val="24"/>
        </w:rPr>
        <w:t xml:space="preserve"> del Estado</w:t>
      </w:r>
      <w:r w:rsidR="00257D49" w:rsidRPr="003E7A82">
        <w:rPr>
          <w:rFonts w:ascii="Times New Roman" w:hAnsi="Times New Roman" w:cs="Times New Roman"/>
          <w:sz w:val="24"/>
          <w:szCs w:val="24"/>
        </w:rPr>
        <w:t xml:space="preserve"> o bien de</w:t>
      </w:r>
      <w:r w:rsidR="009802B6" w:rsidRPr="003E7A82">
        <w:rPr>
          <w:rFonts w:ascii="Times New Roman" w:hAnsi="Times New Roman" w:cs="Times New Roman"/>
          <w:sz w:val="24"/>
          <w:szCs w:val="24"/>
        </w:rPr>
        <w:t xml:space="preserve"> fuentes privadas</w:t>
      </w:r>
      <w:r w:rsidR="00257D49" w:rsidRPr="003E7A82">
        <w:rPr>
          <w:rFonts w:ascii="Times New Roman" w:hAnsi="Times New Roman" w:cs="Times New Roman"/>
          <w:sz w:val="24"/>
          <w:szCs w:val="24"/>
        </w:rPr>
        <w:t xml:space="preserve">, ya sean lucrativas o </w:t>
      </w:r>
      <w:r w:rsidR="009802B6" w:rsidRPr="003E7A82">
        <w:rPr>
          <w:rFonts w:ascii="Times New Roman" w:hAnsi="Times New Roman" w:cs="Times New Roman"/>
          <w:sz w:val="24"/>
          <w:szCs w:val="24"/>
        </w:rPr>
        <w:t>filantrópicas (Johnstone y Marcucci, 2010</w:t>
      </w:r>
      <w:r w:rsidR="00DB3579" w:rsidRPr="00310679">
        <w:rPr>
          <w:rFonts w:ascii="Times New Roman" w:hAnsi="Times New Roman" w:cs="Times New Roman"/>
          <w:sz w:val="24"/>
          <w:szCs w:val="24"/>
        </w:rPr>
        <w:t xml:space="preserve">, como se </w:t>
      </w:r>
      <w:proofErr w:type="gramStart"/>
      <w:r w:rsidR="00DB3579" w:rsidRPr="00310679">
        <w:rPr>
          <w:rFonts w:ascii="Times New Roman" w:hAnsi="Times New Roman" w:cs="Times New Roman"/>
          <w:sz w:val="24"/>
          <w:szCs w:val="24"/>
        </w:rPr>
        <w:t>citó</w:t>
      </w:r>
      <w:r w:rsidR="0029405B" w:rsidRPr="00310679">
        <w:rPr>
          <w:rFonts w:ascii="Times New Roman" w:hAnsi="Times New Roman" w:cs="Times New Roman"/>
          <w:sz w:val="24"/>
          <w:szCs w:val="24"/>
        </w:rPr>
        <w:t xml:space="preserve">  en</w:t>
      </w:r>
      <w:proofErr w:type="gramEnd"/>
      <w:r w:rsidR="0029405B" w:rsidRPr="00310679">
        <w:rPr>
          <w:rFonts w:ascii="Times New Roman" w:hAnsi="Times New Roman" w:cs="Times New Roman"/>
          <w:sz w:val="24"/>
          <w:szCs w:val="24"/>
        </w:rPr>
        <w:t xml:space="preserve"> </w:t>
      </w:r>
      <w:proofErr w:type="spellStart"/>
      <w:r w:rsidR="0029405B" w:rsidRPr="00310679">
        <w:rPr>
          <w:rFonts w:ascii="Times New Roman" w:hAnsi="Times New Roman" w:cs="Times New Roman"/>
          <w:sz w:val="24"/>
          <w:szCs w:val="24"/>
        </w:rPr>
        <w:t>Altbach</w:t>
      </w:r>
      <w:proofErr w:type="spellEnd"/>
      <w:r w:rsidR="0029405B" w:rsidRPr="00310679">
        <w:rPr>
          <w:rFonts w:ascii="Times New Roman" w:hAnsi="Times New Roman" w:cs="Times New Roman"/>
          <w:sz w:val="24"/>
          <w:szCs w:val="24"/>
        </w:rPr>
        <w:t xml:space="preserve"> </w:t>
      </w:r>
      <w:r w:rsidR="0029405B" w:rsidRPr="00310679">
        <w:rPr>
          <w:rFonts w:ascii="Times New Roman" w:hAnsi="Times New Roman" w:cs="Times New Roman"/>
          <w:i/>
          <w:iCs/>
          <w:sz w:val="24"/>
          <w:szCs w:val="24"/>
        </w:rPr>
        <w:t>et al</w:t>
      </w:r>
      <w:r w:rsidR="00551E8E" w:rsidRPr="00310679">
        <w:rPr>
          <w:rFonts w:ascii="Times New Roman" w:hAnsi="Times New Roman" w:cs="Times New Roman"/>
          <w:sz w:val="24"/>
          <w:szCs w:val="24"/>
        </w:rPr>
        <w:t>.</w:t>
      </w:r>
      <w:r w:rsidR="0029405B" w:rsidRPr="00310679">
        <w:rPr>
          <w:rFonts w:ascii="Times New Roman" w:hAnsi="Times New Roman" w:cs="Times New Roman"/>
          <w:sz w:val="24"/>
          <w:szCs w:val="24"/>
        </w:rPr>
        <w:t>, 2021</w:t>
      </w:r>
      <w:r w:rsidR="009802B6" w:rsidRPr="00310679">
        <w:rPr>
          <w:rFonts w:ascii="Times New Roman" w:hAnsi="Times New Roman" w:cs="Times New Roman"/>
          <w:sz w:val="24"/>
          <w:szCs w:val="24"/>
        </w:rPr>
        <w:t>)</w:t>
      </w:r>
      <w:r w:rsidR="00257D49" w:rsidRPr="00310679">
        <w:rPr>
          <w:rFonts w:ascii="Times New Roman" w:hAnsi="Times New Roman" w:cs="Times New Roman"/>
          <w:sz w:val="24"/>
          <w:szCs w:val="24"/>
        </w:rPr>
        <w:t>.</w:t>
      </w:r>
      <w:r w:rsidR="0029405B" w:rsidRPr="00310679">
        <w:rPr>
          <w:rFonts w:ascii="Times New Roman" w:hAnsi="Times New Roman" w:cs="Times New Roman"/>
          <w:sz w:val="24"/>
          <w:szCs w:val="24"/>
        </w:rPr>
        <w:t xml:space="preserve"> De esta manera una vez más la internacionalización puede brindar</w:t>
      </w:r>
      <w:r w:rsidR="003571AC" w:rsidRPr="00310679">
        <w:rPr>
          <w:rFonts w:ascii="Times New Roman" w:hAnsi="Times New Roman" w:cs="Times New Roman"/>
          <w:sz w:val="24"/>
          <w:szCs w:val="24"/>
        </w:rPr>
        <w:t xml:space="preserve"> modelos y alternativas interesantes que analizar y aplicar, como </w:t>
      </w:r>
      <w:r w:rsidR="00DB3579" w:rsidRPr="00310679">
        <w:rPr>
          <w:rFonts w:ascii="Times New Roman" w:hAnsi="Times New Roman" w:cs="Times New Roman"/>
          <w:sz w:val="24"/>
          <w:szCs w:val="24"/>
        </w:rPr>
        <w:t xml:space="preserve">por </w:t>
      </w:r>
      <w:r w:rsidR="00400017" w:rsidRPr="00310679">
        <w:rPr>
          <w:rFonts w:ascii="Times New Roman" w:hAnsi="Times New Roman" w:cs="Times New Roman"/>
          <w:sz w:val="24"/>
          <w:szCs w:val="24"/>
        </w:rPr>
        <w:t>e</w:t>
      </w:r>
      <w:r w:rsidR="00400017" w:rsidRPr="003E7A82">
        <w:rPr>
          <w:rFonts w:ascii="Times New Roman" w:hAnsi="Times New Roman" w:cs="Times New Roman"/>
          <w:sz w:val="24"/>
          <w:szCs w:val="24"/>
        </w:rPr>
        <w:t>jemplo en</w:t>
      </w:r>
      <w:r w:rsidR="003571AC" w:rsidRPr="003E7A82">
        <w:rPr>
          <w:rFonts w:ascii="Times New Roman" w:hAnsi="Times New Roman" w:cs="Times New Roman"/>
          <w:sz w:val="24"/>
          <w:szCs w:val="24"/>
        </w:rPr>
        <w:t xml:space="preserve"> México, FINAE</w:t>
      </w:r>
      <w:r w:rsidR="00DB441E" w:rsidRPr="003E7A82">
        <w:rPr>
          <w:rFonts w:ascii="Times New Roman" w:hAnsi="Times New Roman" w:cs="Times New Roman"/>
          <w:sz w:val="24"/>
          <w:szCs w:val="24"/>
        </w:rPr>
        <w:t xml:space="preserve"> una institución no bancaria dedicada al crédito estudiantil</w:t>
      </w:r>
      <w:r w:rsidR="007D56C4" w:rsidRPr="003E7A82">
        <w:rPr>
          <w:rFonts w:ascii="Times New Roman" w:hAnsi="Times New Roman" w:cs="Times New Roman"/>
          <w:sz w:val="24"/>
          <w:szCs w:val="24"/>
        </w:rPr>
        <w:t xml:space="preserve"> </w:t>
      </w:r>
      <w:r w:rsidR="00400017" w:rsidRPr="003E7A82">
        <w:rPr>
          <w:rFonts w:ascii="Times New Roman" w:hAnsi="Times New Roman" w:cs="Times New Roman"/>
          <w:sz w:val="24"/>
          <w:szCs w:val="24"/>
        </w:rPr>
        <w:t>para la educación superior cuenta con apoyo del Banco In</w:t>
      </w:r>
      <w:r w:rsidR="00C96B20" w:rsidRPr="003E7A82">
        <w:rPr>
          <w:rFonts w:ascii="Times New Roman" w:hAnsi="Times New Roman" w:cs="Times New Roman"/>
          <w:sz w:val="24"/>
          <w:szCs w:val="24"/>
        </w:rPr>
        <w:t>t</w:t>
      </w:r>
      <w:r w:rsidR="00400017" w:rsidRPr="003E7A82">
        <w:rPr>
          <w:rFonts w:ascii="Times New Roman" w:hAnsi="Times New Roman" w:cs="Times New Roman"/>
          <w:sz w:val="24"/>
          <w:szCs w:val="24"/>
        </w:rPr>
        <w:t>eramericano de Desarrollo (</w:t>
      </w:r>
      <w:proofErr w:type="spellStart"/>
      <w:r w:rsidR="00A22135" w:rsidRPr="003E7A82">
        <w:rPr>
          <w:rFonts w:ascii="Times New Roman" w:hAnsi="Times New Roman" w:cs="Times New Roman"/>
          <w:sz w:val="24"/>
          <w:szCs w:val="24"/>
        </w:rPr>
        <w:t>BIDInvest</w:t>
      </w:r>
      <w:proofErr w:type="spellEnd"/>
      <w:r w:rsidR="00A22135" w:rsidRPr="003E7A82">
        <w:rPr>
          <w:rFonts w:ascii="Times New Roman" w:hAnsi="Times New Roman" w:cs="Times New Roman"/>
          <w:sz w:val="24"/>
          <w:szCs w:val="24"/>
        </w:rPr>
        <w:t>, 20</w:t>
      </w:r>
      <w:r w:rsidR="00990BDB" w:rsidRPr="003E7A82">
        <w:rPr>
          <w:rFonts w:ascii="Times New Roman" w:hAnsi="Times New Roman" w:cs="Times New Roman"/>
          <w:sz w:val="24"/>
          <w:szCs w:val="24"/>
        </w:rPr>
        <w:t>17</w:t>
      </w:r>
      <w:r w:rsidR="00A22135" w:rsidRPr="003E7A82">
        <w:rPr>
          <w:rFonts w:ascii="Times New Roman" w:hAnsi="Times New Roman" w:cs="Times New Roman"/>
          <w:sz w:val="24"/>
          <w:szCs w:val="24"/>
        </w:rPr>
        <w:t>).</w:t>
      </w:r>
    </w:p>
    <w:p w14:paraId="0468ED5A" w14:textId="74C0077D" w:rsidR="006A20B1" w:rsidRPr="003E7A82" w:rsidRDefault="00634EF7"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El</w:t>
      </w:r>
      <w:r w:rsidR="00722F44" w:rsidRPr="00310679">
        <w:rPr>
          <w:rFonts w:ascii="Times New Roman" w:hAnsi="Times New Roman" w:cs="Times New Roman"/>
          <w:color w:val="FF0000"/>
          <w:sz w:val="24"/>
          <w:szCs w:val="24"/>
        </w:rPr>
        <w:t xml:space="preserve"> </w:t>
      </w:r>
      <w:r w:rsidR="00103BF2" w:rsidRPr="00310679">
        <w:rPr>
          <w:rFonts w:ascii="Times New Roman" w:hAnsi="Times New Roman" w:cs="Times New Roman"/>
          <w:sz w:val="24"/>
          <w:szCs w:val="24"/>
        </w:rPr>
        <w:t xml:space="preserve">tercer </w:t>
      </w:r>
      <w:r w:rsidR="00DB3579" w:rsidRPr="00310679">
        <w:rPr>
          <w:rFonts w:ascii="Times New Roman" w:hAnsi="Times New Roman" w:cs="Times New Roman"/>
          <w:sz w:val="24"/>
          <w:szCs w:val="24"/>
        </w:rPr>
        <w:t xml:space="preserve">eje </w:t>
      </w:r>
      <w:r w:rsidR="00103BF2" w:rsidRPr="00310679">
        <w:rPr>
          <w:rFonts w:ascii="Times New Roman" w:hAnsi="Times New Roman" w:cs="Times New Roman"/>
          <w:sz w:val="24"/>
          <w:szCs w:val="24"/>
        </w:rPr>
        <w:t xml:space="preserve">(según página 19) </w:t>
      </w:r>
      <w:r w:rsidR="00722F44" w:rsidRPr="00310679">
        <w:rPr>
          <w:rFonts w:ascii="Times New Roman" w:hAnsi="Times New Roman" w:cs="Times New Roman"/>
          <w:sz w:val="24"/>
          <w:szCs w:val="24"/>
        </w:rPr>
        <w:t>eje</w:t>
      </w:r>
      <w:r w:rsidR="00722F44" w:rsidRPr="003E7A82">
        <w:rPr>
          <w:rFonts w:ascii="Times New Roman" w:hAnsi="Times New Roman" w:cs="Times New Roman"/>
          <w:sz w:val="24"/>
          <w:szCs w:val="24"/>
        </w:rPr>
        <w:t xml:space="preserve"> se</w:t>
      </w:r>
      <w:r w:rsidR="00737D7F" w:rsidRPr="003E7A82">
        <w:rPr>
          <w:rFonts w:ascii="Times New Roman" w:hAnsi="Times New Roman" w:cs="Times New Roman"/>
          <w:sz w:val="24"/>
          <w:szCs w:val="24"/>
        </w:rPr>
        <w:t>ñalado por</w:t>
      </w:r>
      <w:r w:rsidR="00761491" w:rsidRPr="003E7A82">
        <w:rPr>
          <w:rFonts w:ascii="Times New Roman" w:hAnsi="Times New Roman" w:cs="Times New Roman"/>
          <w:sz w:val="24"/>
          <w:szCs w:val="24"/>
        </w:rPr>
        <w:t xml:space="preserve"> Castellanos-Ramírez y Niño Carrasco (2022)</w:t>
      </w:r>
      <w:r w:rsidR="00722F44" w:rsidRPr="003E7A82">
        <w:rPr>
          <w:rFonts w:ascii="Times New Roman" w:hAnsi="Times New Roman" w:cs="Times New Roman"/>
          <w:sz w:val="24"/>
          <w:szCs w:val="24"/>
        </w:rPr>
        <w:t xml:space="preserve"> </w:t>
      </w:r>
      <w:r w:rsidR="00641AFA" w:rsidRPr="003E7A82">
        <w:rPr>
          <w:rFonts w:ascii="Times New Roman" w:hAnsi="Times New Roman" w:cs="Times New Roman"/>
          <w:sz w:val="24"/>
          <w:szCs w:val="24"/>
        </w:rPr>
        <w:t>se refiere a</w:t>
      </w:r>
      <w:r w:rsidR="00E042C2" w:rsidRPr="003E7A82">
        <w:rPr>
          <w:rFonts w:ascii="Times New Roman" w:hAnsi="Times New Roman" w:cs="Times New Roman"/>
          <w:sz w:val="24"/>
          <w:szCs w:val="24"/>
        </w:rPr>
        <w:t xml:space="preserve"> rescatar</w:t>
      </w:r>
      <w:r w:rsidR="00CF417E" w:rsidRPr="003E7A82">
        <w:rPr>
          <w:rFonts w:ascii="Times New Roman" w:hAnsi="Times New Roman" w:cs="Times New Roman"/>
          <w:sz w:val="24"/>
          <w:szCs w:val="24"/>
        </w:rPr>
        <w:t xml:space="preserve"> a</w:t>
      </w:r>
      <w:r w:rsidR="00641AFA" w:rsidRPr="003E7A82">
        <w:rPr>
          <w:rFonts w:ascii="Times New Roman" w:hAnsi="Times New Roman" w:cs="Times New Roman"/>
          <w:sz w:val="24"/>
          <w:szCs w:val="24"/>
        </w:rPr>
        <w:t xml:space="preserve"> la</w:t>
      </w:r>
      <w:r w:rsidR="006054BA" w:rsidRPr="003E7A82">
        <w:rPr>
          <w:rFonts w:ascii="Times New Roman" w:hAnsi="Times New Roman" w:cs="Times New Roman"/>
          <w:sz w:val="24"/>
          <w:szCs w:val="24"/>
        </w:rPr>
        <w:t>s</w:t>
      </w:r>
      <w:r w:rsidR="00641AFA" w:rsidRPr="003E7A82">
        <w:rPr>
          <w:rFonts w:ascii="Times New Roman" w:hAnsi="Times New Roman" w:cs="Times New Roman"/>
          <w:sz w:val="24"/>
          <w:szCs w:val="24"/>
        </w:rPr>
        <w:t xml:space="preserve"> </w:t>
      </w:r>
      <w:r w:rsidR="00722F44" w:rsidRPr="003E7A82">
        <w:rPr>
          <w:rFonts w:ascii="Times New Roman" w:hAnsi="Times New Roman" w:cs="Times New Roman"/>
          <w:sz w:val="24"/>
          <w:szCs w:val="24"/>
        </w:rPr>
        <w:t>universidades</w:t>
      </w:r>
      <w:r w:rsidR="006054BA" w:rsidRPr="003E7A82">
        <w:rPr>
          <w:rFonts w:ascii="Times New Roman" w:hAnsi="Times New Roman" w:cs="Times New Roman"/>
          <w:sz w:val="24"/>
          <w:szCs w:val="24"/>
        </w:rPr>
        <w:t xml:space="preserve"> </w:t>
      </w:r>
      <w:r w:rsidR="00722F44" w:rsidRPr="003E7A82">
        <w:rPr>
          <w:rFonts w:ascii="Times New Roman" w:hAnsi="Times New Roman" w:cs="Times New Roman"/>
          <w:sz w:val="24"/>
          <w:szCs w:val="24"/>
        </w:rPr>
        <w:t>públicas autónomas</w:t>
      </w:r>
      <w:r w:rsidR="006054BA" w:rsidRPr="003E7A82">
        <w:rPr>
          <w:rFonts w:ascii="Times New Roman" w:hAnsi="Times New Roman" w:cs="Times New Roman"/>
          <w:sz w:val="24"/>
          <w:szCs w:val="24"/>
        </w:rPr>
        <w:t xml:space="preserve"> </w:t>
      </w:r>
      <w:r w:rsidR="00722F44" w:rsidRPr="003E7A82">
        <w:rPr>
          <w:rFonts w:ascii="Times New Roman" w:hAnsi="Times New Roman" w:cs="Times New Roman"/>
          <w:sz w:val="24"/>
          <w:szCs w:val="24"/>
        </w:rPr>
        <w:t>de la crisis económica</w:t>
      </w:r>
      <w:r w:rsidR="00CF417E" w:rsidRPr="003E7A82">
        <w:rPr>
          <w:rFonts w:ascii="Times New Roman" w:hAnsi="Times New Roman" w:cs="Times New Roman"/>
          <w:sz w:val="24"/>
          <w:szCs w:val="24"/>
        </w:rPr>
        <w:t xml:space="preserve"> debid</w:t>
      </w:r>
      <w:r w:rsidR="00F360DF" w:rsidRPr="003E7A82">
        <w:rPr>
          <w:rFonts w:ascii="Times New Roman" w:hAnsi="Times New Roman" w:cs="Times New Roman"/>
          <w:sz w:val="24"/>
          <w:szCs w:val="24"/>
        </w:rPr>
        <w:t>a a la disminución de su presupuesto que han sufrido</w:t>
      </w:r>
      <w:r w:rsidR="00E30AF9" w:rsidRPr="003E7A82">
        <w:rPr>
          <w:rFonts w:ascii="Times New Roman" w:hAnsi="Times New Roman" w:cs="Times New Roman"/>
          <w:sz w:val="24"/>
          <w:szCs w:val="24"/>
        </w:rPr>
        <w:t xml:space="preserve"> en</w:t>
      </w:r>
      <w:r w:rsidR="006054BA" w:rsidRPr="003E7A82">
        <w:rPr>
          <w:rFonts w:ascii="Times New Roman" w:hAnsi="Times New Roman" w:cs="Times New Roman"/>
          <w:sz w:val="24"/>
          <w:szCs w:val="24"/>
        </w:rPr>
        <w:t xml:space="preserve"> el último cuarto de siglo</w:t>
      </w:r>
      <w:r w:rsidR="00874149" w:rsidRPr="003E7A82">
        <w:rPr>
          <w:rFonts w:ascii="Times New Roman" w:hAnsi="Times New Roman" w:cs="Times New Roman"/>
          <w:sz w:val="24"/>
          <w:szCs w:val="24"/>
        </w:rPr>
        <w:t>;</w:t>
      </w:r>
      <w:r w:rsidR="006054BA" w:rsidRPr="003E7A82">
        <w:rPr>
          <w:rFonts w:ascii="Times New Roman" w:hAnsi="Times New Roman" w:cs="Times New Roman"/>
          <w:sz w:val="24"/>
          <w:szCs w:val="24"/>
        </w:rPr>
        <w:t xml:space="preserve"> </w:t>
      </w:r>
      <w:r w:rsidR="00874149" w:rsidRPr="003E7A82">
        <w:rPr>
          <w:rFonts w:ascii="Times New Roman" w:hAnsi="Times New Roman" w:cs="Times New Roman"/>
          <w:sz w:val="24"/>
          <w:szCs w:val="24"/>
        </w:rPr>
        <w:t>e</w:t>
      </w:r>
      <w:r w:rsidR="006054BA" w:rsidRPr="003E7A82">
        <w:rPr>
          <w:rFonts w:ascii="Times New Roman" w:hAnsi="Times New Roman" w:cs="Times New Roman"/>
          <w:sz w:val="24"/>
          <w:szCs w:val="24"/>
        </w:rPr>
        <w:t xml:space="preserve">n particular citan </w:t>
      </w:r>
      <w:r w:rsidR="00C73E58" w:rsidRPr="003E7A82">
        <w:rPr>
          <w:rFonts w:ascii="Times New Roman" w:hAnsi="Times New Roman" w:cs="Times New Roman"/>
          <w:sz w:val="24"/>
          <w:szCs w:val="24"/>
        </w:rPr>
        <w:t>a diez universidades al borde de la quiebra</w:t>
      </w:r>
      <w:r w:rsidR="00722F44" w:rsidRPr="003E7A82">
        <w:rPr>
          <w:rFonts w:ascii="Times New Roman" w:hAnsi="Times New Roman" w:cs="Times New Roman"/>
          <w:sz w:val="24"/>
          <w:szCs w:val="24"/>
        </w:rPr>
        <w:t xml:space="preserve"> (Universidad Autónoma de Chiapas, Universidad Autónoma del Estado de México, Universidad Michoacana de San Nicolás de Hidalgo, </w:t>
      </w:r>
      <w:r w:rsidR="00722F44" w:rsidRPr="003E7A82">
        <w:rPr>
          <w:rFonts w:ascii="Times New Roman" w:hAnsi="Times New Roman" w:cs="Times New Roman"/>
          <w:sz w:val="24"/>
          <w:szCs w:val="24"/>
        </w:rPr>
        <w:lastRenderedPageBreak/>
        <w:t>Universidad Autónoma de Morelos, Universidad Autónoma de Nayarit, Universidad Autónoma Benito Juárez de Oaxaca, Universidad Autónoma de Sinaloa, Universidad Juárez Autónoma de Tabasco, Universidad Veracruzana y Universidad Autónoma de Zacatecas)</w:t>
      </w:r>
      <w:r w:rsidR="00BD2E36" w:rsidRPr="003E7A82">
        <w:rPr>
          <w:rFonts w:ascii="Times New Roman" w:hAnsi="Times New Roman" w:cs="Times New Roman"/>
          <w:sz w:val="24"/>
          <w:szCs w:val="24"/>
        </w:rPr>
        <w:t xml:space="preserve"> </w:t>
      </w:r>
      <w:r w:rsidR="00EE6DE5" w:rsidRPr="003E7A82">
        <w:rPr>
          <w:rFonts w:ascii="Times New Roman" w:hAnsi="Times New Roman" w:cs="Times New Roman"/>
          <w:sz w:val="24"/>
          <w:szCs w:val="24"/>
        </w:rPr>
        <w:t>a</w:t>
      </w:r>
      <w:r w:rsidR="00722F44" w:rsidRPr="003E7A82">
        <w:rPr>
          <w:rFonts w:ascii="Times New Roman" w:hAnsi="Times New Roman" w:cs="Times New Roman"/>
          <w:sz w:val="24"/>
          <w:szCs w:val="24"/>
        </w:rPr>
        <w:t xml:space="preserve">nte dichas circunstancia los programas educativos </w:t>
      </w:r>
      <w:r w:rsidR="00761A67" w:rsidRPr="003E7A82">
        <w:rPr>
          <w:rFonts w:ascii="Times New Roman" w:hAnsi="Times New Roman" w:cs="Times New Roman"/>
          <w:sz w:val="24"/>
          <w:szCs w:val="24"/>
        </w:rPr>
        <w:t>de</w:t>
      </w:r>
      <w:r w:rsidR="00722F44" w:rsidRPr="003E7A82">
        <w:rPr>
          <w:rFonts w:ascii="Times New Roman" w:hAnsi="Times New Roman" w:cs="Times New Roman"/>
          <w:sz w:val="24"/>
          <w:szCs w:val="24"/>
        </w:rPr>
        <w:t xml:space="preserve"> estas universidades públicas </w:t>
      </w:r>
      <w:r w:rsidR="009063B8" w:rsidRPr="003E7A82">
        <w:rPr>
          <w:rFonts w:ascii="Times New Roman" w:hAnsi="Times New Roman" w:cs="Times New Roman"/>
          <w:sz w:val="24"/>
          <w:szCs w:val="24"/>
        </w:rPr>
        <w:t xml:space="preserve">podrían desaparecer, </w:t>
      </w:r>
      <w:r w:rsidR="005001A5" w:rsidRPr="003E7A82">
        <w:rPr>
          <w:rFonts w:ascii="Times New Roman" w:hAnsi="Times New Roman" w:cs="Times New Roman"/>
          <w:sz w:val="24"/>
          <w:szCs w:val="24"/>
        </w:rPr>
        <w:t>disminuyendo así la matrícula potencial que requiere el país.</w:t>
      </w:r>
    </w:p>
    <w:p w14:paraId="43D04E58" w14:textId="555A8893" w:rsidR="00681CCA" w:rsidRPr="003E7A82" w:rsidRDefault="00EE6DE5"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 xml:space="preserve">ANUIES desarrolló un comparativo </w:t>
      </w:r>
      <w:r w:rsidR="00125B8B" w:rsidRPr="003E7A82">
        <w:rPr>
          <w:rFonts w:ascii="Times New Roman" w:hAnsi="Times New Roman" w:cs="Times New Roman"/>
          <w:sz w:val="24"/>
          <w:szCs w:val="24"/>
        </w:rPr>
        <w:t>“</w:t>
      </w:r>
      <w:r w:rsidR="00564BCF" w:rsidRPr="003E7A82">
        <w:rPr>
          <w:rFonts w:ascii="Times New Roman" w:hAnsi="Times New Roman" w:cs="Times New Roman"/>
          <w:sz w:val="24"/>
          <w:szCs w:val="24"/>
        </w:rPr>
        <w:t>Panorama de la Educación 2017</w:t>
      </w:r>
      <w:r w:rsidR="00125B8B" w:rsidRPr="003E7A82">
        <w:rPr>
          <w:rFonts w:ascii="Times New Roman" w:hAnsi="Times New Roman" w:cs="Times New Roman"/>
          <w:sz w:val="24"/>
          <w:szCs w:val="24"/>
        </w:rPr>
        <w:t>”</w:t>
      </w:r>
      <w:r w:rsidR="00564BCF" w:rsidRPr="003E7A82">
        <w:rPr>
          <w:rFonts w:ascii="Times New Roman" w:hAnsi="Times New Roman" w:cs="Times New Roman"/>
          <w:sz w:val="24"/>
          <w:szCs w:val="24"/>
        </w:rPr>
        <w:t xml:space="preserve"> </w:t>
      </w:r>
      <w:r w:rsidR="00867139" w:rsidRPr="003E7A82">
        <w:rPr>
          <w:rFonts w:ascii="Times New Roman" w:hAnsi="Times New Roman" w:cs="Times New Roman"/>
          <w:sz w:val="24"/>
          <w:szCs w:val="24"/>
        </w:rPr>
        <w:t>(</w:t>
      </w:r>
      <w:r w:rsidR="00564BCF" w:rsidRPr="003E7A82">
        <w:rPr>
          <w:rFonts w:ascii="Times New Roman" w:hAnsi="Times New Roman" w:cs="Times New Roman"/>
          <w:sz w:val="24"/>
          <w:szCs w:val="24"/>
        </w:rPr>
        <w:t>OCDE</w:t>
      </w:r>
      <w:r w:rsidR="00867139" w:rsidRPr="003E7A82">
        <w:rPr>
          <w:rFonts w:ascii="Times New Roman" w:hAnsi="Times New Roman" w:cs="Times New Roman"/>
          <w:sz w:val="24"/>
          <w:szCs w:val="24"/>
        </w:rPr>
        <w:t xml:space="preserve">, </w:t>
      </w:r>
      <w:r w:rsidR="00564BCF" w:rsidRPr="003E7A82">
        <w:rPr>
          <w:rFonts w:ascii="Times New Roman" w:hAnsi="Times New Roman" w:cs="Times New Roman"/>
          <w:sz w:val="24"/>
          <w:szCs w:val="24"/>
        </w:rPr>
        <w:t>201</w:t>
      </w:r>
      <w:r w:rsidR="00F30FF8" w:rsidRPr="003E7A82">
        <w:rPr>
          <w:rFonts w:ascii="Times New Roman" w:hAnsi="Times New Roman" w:cs="Times New Roman"/>
          <w:sz w:val="24"/>
          <w:szCs w:val="24"/>
        </w:rPr>
        <w:t>8</w:t>
      </w:r>
      <w:r w:rsidR="00DB3579" w:rsidRPr="003E7A82">
        <w:rPr>
          <w:rFonts w:ascii="Times New Roman" w:hAnsi="Times New Roman" w:cs="Times New Roman"/>
          <w:sz w:val="24"/>
          <w:szCs w:val="24"/>
        </w:rPr>
        <w:t xml:space="preserve">, </w:t>
      </w:r>
      <w:r w:rsidR="00DB3579" w:rsidRPr="00310679">
        <w:rPr>
          <w:rFonts w:ascii="Times New Roman" w:hAnsi="Times New Roman" w:cs="Times New Roman"/>
          <w:sz w:val="24"/>
          <w:szCs w:val="24"/>
        </w:rPr>
        <w:t xml:space="preserve">como se citó en </w:t>
      </w:r>
      <w:r w:rsidR="00A216AD" w:rsidRPr="00310679">
        <w:rPr>
          <w:rFonts w:ascii="Times New Roman" w:hAnsi="Times New Roman" w:cs="Times New Roman"/>
          <w:sz w:val="24"/>
          <w:szCs w:val="24"/>
        </w:rPr>
        <w:t>Castellanos-Ramírez y Niño Carrasco</w:t>
      </w:r>
      <w:r w:rsidR="00B66FAB" w:rsidRPr="00310679">
        <w:rPr>
          <w:rFonts w:ascii="Times New Roman" w:hAnsi="Times New Roman" w:cs="Times New Roman"/>
          <w:sz w:val="24"/>
          <w:szCs w:val="24"/>
        </w:rPr>
        <w:t xml:space="preserve">, </w:t>
      </w:r>
      <w:r w:rsidR="00A216AD" w:rsidRPr="00310679">
        <w:rPr>
          <w:rFonts w:ascii="Times New Roman" w:hAnsi="Times New Roman" w:cs="Times New Roman"/>
          <w:sz w:val="24"/>
          <w:szCs w:val="24"/>
        </w:rPr>
        <w:t>2022</w:t>
      </w:r>
      <w:r w:rsidR="00564BCF" w:rsidRPr="00310679">
        <w:rPr>
          <w:rFonts w:ascii="Times New Roman" w:hAnsi="Times New Roman" w:cs="Times New Roman"/>
          <w:sz w:val="24"/>
          <w:szCs w:val="24"/>
        </w:rPr>
        <w:t xml:space="preserve">), </w:t>
      </w:r>
      <w:r w:rsidR="00D10F9B" w:rsidRPr="00310679">
        <w:rPr>
          <w:rFonts w:ascii="Times New Roman" w:hAnsi="Times New Roman" w:cs="Times New Roman"/>
          <w:sz w:val="24"/>
          <w:szCs w:val="24"/>
        </w:rPr>
        <w:t>de un indicador de cobertu</w:t>
      </w:r>
      <w:r w:rsidR="00D10F9B" w:rsidRPr="003E7A82">
        <w:rPr>
          <w:rFonts w:ascii="Times New Roman" w:hAnsi="Times New Roman" w:cs="Times New Roman"/>
          <w:sz w:val="24"/>
          <w:szCs w:val="24"/>
        </w:rPr>
        <w:t>ra de</w:t>
      </w:r>
      <w:r w:rsidR="00745236" w:rsidRPr="003E7A82">
        <w:rPr>
          <w:rFonts w:ascii="Times New Roman" w:hAnsi="Times New Roman" w:cs="Times New Roman"/>
          <w:sz w:val="24"/>
          <w:szCs w:val="24"/>
        </w:rPr>
        <w:t xml:space="preserve"> educación superior para</w:t>
      </w:r>
      <w:r w:rsidR="00564BCF" w:rsidRPr="003E7A82">
        <w:rPr>
          <w:rFonts w:ascii="Times New Roman" w:hAnsi="Times New Roman" w:cs="Times New Roman"/>
          <w:sz w:val="24"/>
          <w:szCs w:val="24"/>
        </w:rPr>
        <w:t xml:space="preserve"> la población </w:t>
      </w:r>
      <w:r w:rsidR="00745236" w:rsidRPr="003E7A82">
        <w:rPr>
          <w:rFonts w:ascii="Times New Roman" w:hAnsi="Times New Roman" w:cs="Times New Roman"/>
          <w:sz w:val="24"/>
          <w:szCs w:val="24"/>
        </w:rPr>
        <w:t xml:space="preserve">de </w:t>
      </w:r>
      <w:r w:rsidR="00564BCF" w:rsidRPr="003E7A82">
        <w:rPr>
          <w:rFonts w:ascii="Times New Roman" w:hAnsi="Times New Roman" w:cs="Times New Roman"/>
          <w:sz w:val="24"/>
          <w:szCs w:val="24"/>
        </w:rPr>
        <w:t xml:space="preserve">entre 25 a 34 años </w:t>
      </w:r>
      <w:r w:rsidR="005279AE" w:rsidRPr="003E7A82">
        <w:rPr>
          <w:rFonts w:ascii="Times New Roman" w:hAnsi="Times New Roman" w:cs="Times New Roman"/>
          <w:sz w:val="24"/>
          <w:szCs w:val="24"/>
        </w:rPr>
        <w:t>de los países que forman parte de la OCDE</w:t>
      </w:r>
      <w:r w:rsidR="00DA2DE7" w:rsidRPr="003E7A82">
        <w:rPr>
          <w:rFonts w:ascii="Times New Roman" w:hAnsi="Times New Roman" w:cs="Times New Roman"/>
          <w:sz w:val="24"/>
          <w:szCs w:val="24"/>
        </w:rPr>
        <w:t xml:space="preserve">, </w:t>
      </w:r>
      <w:r w:rsidR="00681CCA" w:rsidRPr="003E7A82">
        <w:rPr>
          <w:rFonts w:ascii="Times New Roman" w:hAnsi="Times New Roman" w:cs="Times New Roman"/>
          <w:sz w:val="24"/>
          <w:szCs w:val="24"/>
        </w:rPr>
        <w:t xml:space="preserve">cuya </w:t>
      </w:r>
      <w:r w:rsidR="00DA2DE7" w:rsidRPr="003E7A82">
        <w:rPr>
          <w:rFonts w:ascii="Times New Roman" w:hAnsi="Times New Roman" w:cs="Times New Roman"/>
          <w:sz w:val="24"/>
          <w:szCs w:val="24"/>
        </w:rPr>
        <w:t>media de la población de 25 a 34 años cuenta con un título o grado de Educación Superior equivale al 44%</w:t>
      </w:r>
      <w:r w:rsidR="00564BCF" w:rsidRPr="003E7A82">
        <w:rPr>
          <w:rFonts w:ascii="Times New Roman" w:hAnsi="Times New Roman" w:cs="Times New Roman"/>
          <w:sz w:val="24"/>
          <w:szCs w:val="24"/>
        </w:rPr>
        <w:t xml:space="preserve">. </w:t>
      </w:r>
      <w:r w:rsidR="00576917" w:rsidRPr="003E7A82">
        <w:rPr>
          <w:rFonts w:ascii="Times New Roman" w:hAnsi="Times New Roman" w:cs="Times New Roman"/>
          <w:sz w:val="24"/>
          <w:szCs w:val="24"/>
        </w:rPr>
        <w:t>México tiene un bajo nivel de cobertura de Educación Superior</w:t>
      </w:r>
      <w:r w:rsidR="007A55F9" w:rsidRPr="003E7A82">
        <w:rPr>
          <w:rFonts w:ascii="Times New Roman" w:hAnsi="Times New Roman" w:cs="Times New Roman"/>
          <w:sz w:val="24"/>
          <w:szCs w:val="24"/>
        </w:rPr>
        <w:t>, 38.4%</w:t>
      </w:r>
      <w:r w:rsidR="00576917" w:rsidRPr="003E7A82">
        <w:rPr>
          <w:rFonts w:ascii="Times New Roman" w:hAnsi="Times New Roman" w:cs="Times New Roman"/>
          <w:sz w:val="24"/>
          <w:szCs w:val="24"/>
        </w:rPr>
        <w:t xml:space="preserve"> </w:t>
      </w:r>
      <w:r w:rsidR="007A55F9" w:rsidRPr="003E7A82">
        <w:rPr>
          <w:rFonts w:ascii="Times New Roman" w:hAnsi="Times New Roman" w:cs="Times New Roman"/>
          <w:sz w:val="24"/>
          <w:szCs w:val="24"/>
        </w:rPr>
        <w:t xml:space="preserve">lo </w:t>
      </w:r>
      <w:r w:rsidR="00576917" w:rsidRPr="003E7A82">
        <w:rPr>
          <w:rFonts w:ascii="Times New Roman" w:hAnsi="Times New Roman" w:cs="Times New Roman"/>
          <w:sz w:val="24"/>
          <w:szCs w:val="24"/>
        </w:rPr>
        <w:t>que no favorece el desarrollo y el bienestar de la población, diez puntos porcentuales debajo de la media de América Latina y el Caribe (48</w:t>
      </w:r>
      <w:r w:rsidR="00551E8E" w:rsidRPr="003E7A82">
        <w:rPr>
          <w:rFonts w:ascii="Times New Roman" w:hAnsi="Times New Roman" w:cs="Times New Roman"/>
          <w:sz w:val="24"/>
          <w:szCs w:val="24"/>
        </w:rPr>
        <w:t>.</w:t>
      </w:r>
      <w:r w:rsidR="00576917" w:rsidRPr="003E7A82">
        <w:rPr>
          <w:rFonts w:ascii="Times New Roman" w:hAnsi="Times New Roman" w:cs="Times New Roman"/>
          <w:sz w:val="24"/>
          <w:szCs w:val="24"/>
        </w:rPr>
        <w:t>4%)</w:t>
      </w:r>
      <w:r w:rsidR="00B36D22" w:rsidRPr="003E7A82">
        <w:rPr>
          <w:rFonts w:ascii="Times New Roman" w:hAnsi="Times New Roman" w:cs="Times New Roman"/>
          <w:sz w:val="24"/>
          <w:szCs w:val="24"/>
        </w:rPr>
        <w:t>.</w:t>
      </w:r>
    </w:p>
    <w:p w14:paraId="071EE4B6" w14:textId="32CC8CCD" w:rsidR="00564BCF" w:rsidRDefault="007E5BBD"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En l</w:t>
      </w:r>
      <w:r w:rsidR="005279AE" w:rsidRPr="003E7A82">
        <w:rPr>
          <w:rFonts w:ascii="Times New Roman" w:hAnsi="Times New Roman" w:cs="Times New Roman"/>
          <w:sz w:val="24"/>
          <w:szCs w:val="24"/>
        </w:rPr>
        <w:t>a</w:t>
      </w:r>
      <w:r w:rsidR="00564BCF" w:rsidRPr="003E7A82">
        <w:rPr>
          <w:rFonts w:ascii="Times New Roman" w:hAnsi="Times New Roman" w:cs="Times New Roman"/>
          <w:sz w:val="24"/>
          <w:szCs w:val="24"/>
        </w:rPr>
        <w:t xml:space="preserve"> </w:t>
      </w:r>
      <w:r w:rsidR="005678AE" w:rsidRPr="003E7A82">
        <w:rPr>
          <w:rFonts w:ascii="Times New Roman" w:hAnsi="Times New Roman" w:cs="Times New Roman"/>
          <w:sz w:val="24"/>
          <w:szCs w:val="24"/>
        </w:rPr>
        <w:t>Tabl</w:t>
      </w:r>
      <w:r w:rsidRPr="003E7A82">
        <w:rPr>
          <w:rFonts w:ascii="Times New Roman" w:hAnsi="Times New Roman" w:cs="Times New Roman"/>
          <w:sz w:val="24"/>
          <w:szCs w:val="24"/>
        </w:rPr>
        <w:t>a</w:t>
      </w:r>
      <w:r w:rsidR="00515773" w:rsidRPr="003E7A82">
        <w:rPr>
          <w:rFonts w:ascii="Times New Roman" w:hAnsi="Times New Roman" w:cs="Times New Roman"/>
          <w:sz w:val="24"/>
          <w:szCs w:val="24"/>
        </w:rPr>
        <w:t xml:space="preserve"> </w:t>
      </w:r>
      <w:r w:rsidR="009E5DFA" w:rsidRPr="003E7A82">
        <w:rPr>
          <w:rFonts w:ascii="Times New Roman" w:hAnsi="Times New Roman" w:cs="Times New Roman"/>
          <w:sz w:val="24"/>
          <w:szCs w:val="24"/>
        </w:rPr>
        <w:t>1</w:t>
      </w:r>
      <w:r w:rsidR="00564BCF" w:rsidRPr="003E7A82">
        <w:rPr>
          <w:rFonts w:ascii="Times New Roman" w:hAnsi="Times New Roman" w:cs="Times New Roman"/>
          <w:sz w:val="24"/>
          <w:szCs w:val="24"/>
        </w:rPr>
        <w:t xml:space="preserve"> </w:t>
      </w:r>
      <w:r w:rsidRPr="003E7A82">
        <w:rPr>
          <w:rFonts w:ascii="Times New Roman" w:hAnsi="Times New Roman" w:cs="Times New Roman"/>
          <w:sz w:val="24"/>
          <w:szCs w:val="24"/>
        </w:rPr>
        <w:t>se muestra a los países que se encuentran por encima de la media, alrededor de esta</w:t>
      </w:r>
      <w:r w:rsidR="00E64F29" w:rsidRPr="003E7A82">
        <w:rPr>
          <w:rFonts w:ascii="Times New Roman" w:hAnsi="Times New Roman" w:cs="Times New Roman"/>
          <w:sz w:val="24"/>
          <w:szCs w:val="24"/>
        </w:rPr>
        <w:t xml:space="preserve"> y más por deb</w:t>
      </w:r>
      <w:r w:rsidR="00C93B4F" w:rsidRPr="003E7A82">
        <w:rPr>
          <w:rFonts w:ascii="Times New Roman" w:hAnsi="Times New Roman" w:cs="Times New Roman"/>
          <w:sz w:val="24"/>
          <w:szCs w:val="24"/>
        </w:rPr>
        <w:t>a</w:t>
      </w:r>
      <w:r w:rsidR="00E64F29" w:rsidRPr="003E7A82">
        <w:rPr>
          <w:rFonts w:ascii="Times New Roman" w:hAnsi="Times New Roman" w:cs="Times New Roman"/>
          <w:sz w:val="24"/>
          <w:szCs w:val="24"/>
        </w:rPr>
        <w:t xml:space="preserve">jo </w:t>
      </w:r>
      <w:r w:rsidR="005678AE" w:rsidRPr="0028689B">
        <w:rPr>
          <w:rFonts w:ascii="Times New Roman" w:hAnsi="Times New Roman" w:cs="Times New Roman"/>
          <w:sz w:val="24"/>
          <w:szCs w:val="24"/>
        </w:rPr>
        <w:t>a</w:t>
      </w:r>
      <w:r w:rsidR="005678AE" w:rsidRPr="003E7A82">
        <w:rPr>
          <w:rFonts w:ascii="Times New Roman" w:hAnsi="Times New Roman" w:cs="Times New Roman"/>
          <w:sz w:val="24"/>
          <w:szCs w:val="24"/>
        </w:rPr>
        <w:t xml:space="preserve"> </w:t>
      </w:r>
      <w:r w:rsidR="00E64F29" w:rsidRPr="003E7A82">
        <w:rPr>
          <w:rFonts w:ascii="Times New Roman" w:hAnsi="Times New Roman" w:cs="Times New Roman"/>
          <w:sz w:val="24"/>
          <w:szCs w:val="24"/>
        </w:rPr>
        <w:t xml:space="preserve">de la misma. </w:t>
      </w:r>
      <w:r w:rsidR="00C90C72" w:rsidRPr="003E7A82">
        <w:rPr>
          <w:rFonts w:ascii="Times New Roman" w:hAnsi="Times New Roman" w:cs="Times New Roman"/>
          <w:sz w:val="24"/>
          <w:szCs w:val="24"/>
        </w:rPr>
        <w:t xml:space="preserve">Es preocupante ver que </w:t>
      </w:r>
      <w:r w:rsidR="006176B1" w:rsidRPr="003E7A82">
        <w:rPr>
          <w:rFonts w:ascii="Times New Roman" w:hAnsi="Times New Roman" w:cs="Times New Roman"/>
          <w:sz w:val="24"/>
          <w:szCs w:val="24"/>
        </w:rPr>
        <w:t xml:space="preserve">con </w:t>
      </w:r>
      <w:r w:rsidR="005F7881" w:rsidRPr="003E7A82">
        <w:rPr>
          <w:rFonts w:ascii="Times New Roman" w:hAnsi="Times New Roman" w:cs="Times New Roman"/>
          <w:sz w:val="24"/>
          <w:szCs w:val="24"/>
        </w:rPr>
        <w:t>un</w:t>
      </w:r>
      <w:r w:rsidR="00564BCF" w:rsidRPr="003E7A82">
        <w:rPr>
          <w:rFonts w:ascii="Times New Roman" w:hAnsi="Times New Roman" w:cs="Times New Roman"/>
          <w:sz w:val="24"/>
          <w:szCs w:val="24"/>
        </w:rPr>
        <w:t xml:space="preserve"> 24% de la población </w:t>
      </w:r>
      <w:r w:rsidR="00832737" w:rsidRPr="003E7A82">
        <w:rPr>
          <w:rFonts w:ascii="Times New Roman" w:hAnsi="Times New Roman" w:cs="Times New Roman"/>
          <w:sz w:val="24"/>
          <w:szCs w:val="24"/>
        </w:rPr>
        <w:t xml:space="preserve">elegible en México para llevar a cabo un programa de educación superior, </w:t>
      </w:r>
      <w:r w:rsidR="005F7881" w:rsidRPr="003E7A82">
        <w:rPr>
          <w:rFonts w:ascii="Times New Roman" w:hAnsi="Times New Roman" w:cs="Times New Roman"/>
          <w:sz w:val="24"/>
          <w:szCs w:val="24"/>
        </w:rPr>
        <w:t>se ubica en la tercera columna</w:t>
      </w:r>
      <w:r w:rsidR="00564BCF" w:rsidRPr="003E7A82">
        <w:rPr>
          <w:rFonts w:ascii="Times New Roman" w:hAnsi="Times New Roman" w:cs="Times New Roman"/>
          <w:sz w:val="24"/>
          <w:szCs w:val="24"/>
        </w:rPr>
        <w:t>.</w:t>
      </w:r>
    </w:p>
    <w:p w14:paraId="764C4969" w14:textId="77777777" w:rsidR="003470F9" w:rsidRDefault="003470F9" w:rsidP="00E77F98">
      <w:pPr>
        <w:tabs>
          <w:tab w:val="left" w:pos="284"/>
        </w:tabs>
        <w:spacing w:before="40" w:after="40" w:line="360" w:lineRule="auto"/>
        <w:jc w:val="both"/>
        <w:rPr>
          <w:rFonts w:ascii="Times New Roman" w:hAnsi="Times New Roman" w:cs="Times New Roman"/>
          <w:sz w:val="24"/>
          <w:szCs w:val="24"/>
        </w:rPr>
      </w:pPr>
    </w:p>
    <w:p w14:paraId="7C83E291"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5BA9861C"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14F75545"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59E35A2D"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6BE6EE6B"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0A60B6F2"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16E50E9D"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62E7B729"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07DDDB2D"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322FE153"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51356F3E"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424DFD7E"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1091B6CC"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47FBAADA"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623F43A6"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68AD7148"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02ACA042"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49866F7A" w14:textId="00EF8DC4" w:rsidR="00C7485B" w:rsidRPr="003E7A82" w:rsidRDefault="00C7485B" w:rsidP="003470F9">
      <w:pPr>
        <w:tabs>
          <w:tab w:val="left" w:pos="284"/>
        </w:tabs>
        <w:spacing w:before="40" w:after="40" w:line="360" w:lineRule="auto"/>
        <w:jc w:val="center"/>
        <w:rPr>
          <w:rFonts w:ascii="Times New Roman" w:hAnsi="Times New Roman" w:cs="Times New Roman"/>
          <w:sz w:val="24"/>
          <w:szCs w:val="24"/>
        </w:rPr>
      </w:pPr>
      <w:r w:rsidRPr="003470F9">
        <w:rPr>
          <w:rFonts w:ascii="Times New Roman" w:hAnsi="Times New Roman" w:cs="Times New Roman"/>
          <w:b/>
          <w:bCs/>
          <w:sz w:val="24"/>
          <w:szCs w:val="24"/>
        </w:rPr>
        <w:t>Tabla 1.</w:t>
      </w:r>
      <w:r w:rsidRPr="003E7A82">
        <w:rPr>
          <w:rFonts w:ascii="Times New Roman" w:hAnsi="Times New Roman" w:cs="Times New Roman"/>
          <w:sz w:val="24"/>
          <w:szCs w:val="24"/>
        </w:rPr>
        <w:t xml:space="preserve"> Población entre 25 a 34 años que cuenta con un título o grado de Educación Superior</w:t>
      </w:r>
    </w:p>
    <w:tbl>
      <w:tblPr>
        <w:tblStyle w:val="Tablaconcuadrcula"/>
        <w:tblW w:w="0" w:type="auto"/>
        <w:tblLook w:val="04A0" w:firstRow="1" w:lastRow="0" w:firstColumn="1" w:lastColumn="0" w:noHBand="0" w:noVBand="1"/>
      </w:tblPr>
      <w:tblGrid>
        <w:gridCol w:w="1486"/>
        <w:gridCol w:w="1487"/>
        <w:gridCol w:w="1487"/>
        <w:gridCol w:w="1487"/>
        <w:gridCol w:w="1487"/>
        <w:gridCol w:w="1487"/>
      </w:tblGrid>
      <w:tr w:rsidR="00301E2B" w:rsidRPr="0028689B" w14:paraId="57FD9653" w14:textId="77777777" w:rsidTr="00370D89">
        <w:trPr>
          <w:trHeight w:val="392"/>
          <w:tblHeader/>
        </w:trPr>
        <w:tc>
          <w:tcPr>
            <w:tcW w:w="5947" w:type="dxa"/>
            <w:gridSpan w:val="4"/>
          </w:tcPr>
          <w:p w14:paraId="489E3C6B" w14:textId="3DDA6AF8" w:rsidR="00301E2B" w:rsidRPr="0028689B" w:rsidRDefault="00301E2B"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Países con porcentaje</w:t>
            </w:r>
            <w:r w:rsidR="00310679" w:rsidRPr="0028689B">
              <w:rPr>
                <w:rFonts w:ascii="Times New Roman" w:hAnsi="Times New Roman" w:cs="Times New Roman"/>
                <w:sz w:val="24"/>
                <w:szCs w:val="24"/>
              </w:rPr>
              <w:t xml:space="preserve"> superior al 25%</w:t>
            </w:r>
          </w:p>
        </w:tc>
        <w:tc>
          <w:tcPr>
            <w:tcW w:w="2974" w:type="dxa"/>
            <w:gridSpan w:val="2"/>
            <w:vMerge w:val="restart"/>
          </w:tcPr>
          <w:p w14:paraId="4C8E39E2" w14:textId="77777777" w:rsidR="004201D8" w:rsidRPr="0028689B" w:rsidRDefault="00301E2B"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 xml:space="preserve">Países con porcentaje </w:t>
            </w:r>
          </w:p>
          <w:p w14:paraId="7980A9C3" w14:textId="5D060F85" w:rsidR="00301E2B" w:rsidRPr="0028689B" w:rsidRDefault="00301E2B"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inferior al 25%</w:t>
            </w:r>
          </w:p>
        </w:tc>
      </w:tr>
      <w:tr w:rsidR="00301E2B" w:rsidRPr="0028689B" w14:paraId="1AC52EDB" w14:textId="77777777" w:rsidTr="00370D89">
        <w:trPr>
          <w:trHeight w:val="342"/>
          <w:tblHeader/>
        </w:trPr>
        <w:tc>
          <w:tcPr>
            <w:tcW w:w="2973" w:type="dxa"/>
            <w:gridSpan w:val="2"/>
          </w:tcPr>
          <w:p w14:paraId="57F5D3D8" w14:textId="0A3126CE" w:rsidR="00301E2B" w:rsidRPr="0028689B" w:rsidRDefault="00301E2B"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Igual o superior a la media</w:t>
            </w:r>
          </w:p>
        </w:tc>
        <w:tc>
          <w:tcPr>
            <w:tcW w:w="2974" w:type="dxa"/>
            <w:gridSpan w:val="2"/>
          </w:tcPr>
          <w:p w14:paraId="2C321944" w14:textId="65881A4A" w:rsidR="00301E2B" w:rsidRPr="0028689B" w:rsidRDefault="00301E2B"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Menor a la media</w:t>
            </w:r>
          </w:p>
        </w:tc>
        <w:tc>
          <w:tcPr>
            <w:tcW w:w="2974" w:type="dxa"/>
            <w:gridSpan w:val="2"/>
            <w:vMerge/>
          </w:tcPr>
          <w:p w14:paraId="347C2C88" w14:textId="68537712" w:rsidR="00301E2B" w:rsidRPr="0028689B" w:rsidRDefault="00301E2B" w:rsidP="00E77F98">
            <w:pPr>
              <w:tabs>
                <w:tab w:val="left" w:pos="284"/>
              </w:tabs>
              <w:spacing w:before="40" w:after="40" w:line="360" w:lineRule="auto"/>
              <w:jc w:val="center"/>
              <w:rPr>
                <w:rFonts w:ascii="Times New Roman" w:hAnsi="Times New Roman" w:cs="Times New Roman"/>
                <w:sz w:val="24"/>
                <w:szCs w:val="24"/>
              </w:rPr>
            </w:pPr>
          </w:p>
        </w:tc>
      </w:tr>
      <w:tr w:rsidR="00FA0CCB" w:rsidRPr="0028689B" w14:paraId="3614E914" w14:textId="77777777" w:rsidTr="00FA0CCB">
        <w:tc>
          <w:tcPr>
            <w:tcW w:w="1486" w:type="dxa"/>
          </w:tcPr>
          <w:p w14:paraId="19A34C0C" w14:textId="46475603" w:rsidR="00FA0CCB" w:rsidRPr="0028689B" w:rsidRDefault="004201D8"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Corea</w:t>
            </w:r>
          </w:p>
        </w:tc>
        <w:tc>
          <w:tcPr>
            <w:tcW w:w="1487" w:type="dxa"/>
          </w:tcPr>
          <w:p w14:paraId="28A91C96" w14:textId="5FFFC817" w:rsidR="00FA0CCB" w:rsidRPr="0028689B" w:rsidRDefault="004201D8"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70%</w:t>
            </w:r>
          </w:p>
        </w:tc>
        <w:tc>
          <w:tcPr>
            <w:tcW w:w="1487" w:type="dxa"/>
          </w:tcPr>
          <w:p w14:paraId="7ABA711E" w14:textId="08B6750C" w:rsidR="00FA0CCB" w:rsidRPr="0028689B" w:rsidRDefault="004304A7"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Estonia</w:t>
            </w:r>
          </w:p>
        </w:tc>
        <w:tc>
          <w:tcPr>
            <w:tcW w:w="1487" w:type="dxa"/>
          </w:tcPr>
          <w:p w14:paraId="5D9288CD" w14:textId="667DCEC6" w:rsidR="00FA0CCB" w:rsidRPr="0028689B" w:rsidRDefault="004304A7"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42%</w:t>
            </w:r>
          </w:p>
        </w:tc>
        <w:tc>
          <w:tcPr>
            <w:tcW w:w="1487" w:type="dxa"/>
          </w:tcPr>
          <w:p w14:paraId="599718E2" w14:textId="2A87439D"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México</w:t>
            </w:r>
          </w:p>
        </w:tc>
        <w:tc>
          <w:tcPr>
            <w:tcW w:w="1487" w:type="dxa"/>
          </w:tcPr>
          <w:p w14:paraId="14A26BF9" w14:textId="0C5D6AEE"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24%</w:t>
            </w:r>
          </w:p>
        </w:tc>
      </w:tr>
      <w:tr w:rsidR="00FA0CCB" w:rsidRPr="0028689B" w14:paraId="08A60BFF" w14:textId="77777777" w:rsidTr="00FA0CCB">
        <w:tc>
          <w:tcPr>
            <w:tcW w:w="1486" w:type="dxa"/>
          </w:tcPr>
          <w:p w14:paraId="5B3E71E4" w14:textId="50762EAE" w:rsidR="00FA0CCB" w:rsidRPr="0028689B" w:rsidRDefault="004201D8"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Canadá</w:t>
            </w:r>
          </w:p>
        </w:tc>
        <w:tc>
          <w:tcPr>
            <w:tcW w:w="1487" w:type="dxa"/>
          </w:tcPr>
          <w:p w14:paraId="05A41890" w14:textId="081D9580" w:rsidR="00FA0CCB" w:rsidRPr="0028689B" w:rsidRDefault="004201D8"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62%</w:t>
            </w:r>
          </w:p>
        </w:tc>
        <w:tc>
          <w:tcPr>
            <w:tcW w:w="1487" w:type="dxa"/>
          </w:tcPr>
          <w:p w14:paraId="034F12E6" w14:textId="5CDAAE03" w:rsidR="00FA0CCB" w:rsidRPr="0028689B" w:rsidRDefault="004304A7"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Grecia</w:t>
            </w:r>
          </w:p>
        </w:tc>
        <w:tc>
          <w:tcPr>
            <w:tcW w:w="1487" w:type="dxa"/>
          </w:tcPr>
          <w:p w14:paraId="0B94B915" w14:textId="5E0F9B6E" w:rsidR="00FA0CCB" w:rsidRPr="0028689B" w:rsidRDefault="004304A7"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42%</w:t>
            </w:r>
          </w:p>
        </w:tc>
        <w:tc>
          <w:tcPr>
            <w:tcW w:w="1487" w:type="dxa"/>
          </w:tcPr>
          <w:p w14:paraId="638CFE98" w14:textId="6C9C6A93"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Argentina</w:t>
            </w:r>
          </w:p>
        </w:tc>
        <w:tc>
          <w:tcPr>
            <w:tcW w:w="1487" w:type="dxa"/>
          </w:tcPr>
          <w:p w14:paraId="3310053F" w14:textId="232406EE"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19%</w:t>
            </w:r>
          </w:p>
        </w:tc>
      </w:tr>
      <w:tr w:rsidR="00FA0CCB" w:rsidRPr="0028689B" w14:paraId="6642FFCF" w14:textId="77777777" w:rsidTr="00FA0CCB">
        <w:tc>
          <w:tcPr>
            <w:tcW w:w="1486" w:type="dxa"/>
          </w:tcPr>
          <w:p w14:paraId="6526DB66" w14:textId="180C481E" w:rsidR="00FA0CCB" w:rsidRPr="0028689B" w:rsidRDefault="004201D8"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Rusia</w:t>
            </w:r>
          </w:p>
        </w:tc>
        <w:tc>
          <w:tcPr>
            <w:tcW w:w="1487" w:type="dxa"/>
          </w:tcPr>
          <w:p w14:paraId="1EBBC6E0" w14:textId="2E1FF9C2" w:rsidR="00FA0CCB" w:rsidRPr="0028689B" w:rsidRDefault="004201D8"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60%</w:t>
            </w:r>
          </w:p>
        </w:tc>
        <w:tc>
          <w:tcPr>
            <w:tcW w:w="1487" w:type="dxa"/>
          </w:tcPr>
          <w:p w14:paraId="24C94BA7" w14:textId="69E553DA" w:rsidR="00FA0CCB" w:rsidRPr="0028689B" w:rsidRDefault="004304A7"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España</w:t>
            </w:r>
          </w:p>
        </w:tc>
        <w:tc>
          <w:tcPr>
            <w:tcW w:w="1487" w:type="dxa"/>
          </w:tcPr>
          <w:p w14:paraId="59681C0F" w14:textId="3F476D6B" w:rsidR="00FA0CCB" w:rsidRPr="0028689B" w:rsidRDefault="004304A7"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42%</w:t>
            </w:r>
          </w:p>
        </w:tc>
        <w:tc>
          <w:tcPr>
            <w:tcW w:w="1487" w:type="dxa"/>
          </w:tcPr>
          <w:p w14:paraId="0A0955DA" w14:textId="754DDEDA"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China</w:t>
            </w:r>
          </w:p>
        </w:tc>
        <w:tc>
          <w:tcPr>
            <w:tcW w:w="1487" w:type="dxa"/>
          </w:tcPr>
          <w:p w14:paraId="232F3CFA" w14:textId="47B24B20"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18%</w:t>
            </w:r>
          </w:p>
        </w:tc>
      </w:tr>
      <w:tr w:rsidR="00FA0CCB" w:rsidRPr="0028689B" w14:paraId="76369EDF" w14:textId="77777777" w:rsidTr="00FA0CCB">
        <w:tc>
          <w:tcPr>
            <w:tcW w:w="1486" w:type="dxa"/>
          </w:tcPr>
          <w:p w14:paraId="335CA2DC" w14:textId="2BA0A5FF" w:rsidR="00FA0CCB" w:rsidRPr="0028689B" w:rsidRDefault="004201D8"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Lituania</w:t>
            </w:r>
          </w:p>
        </w:tc>
        <w:tc>
          <w:tcPr>
            <w:tcW w:w="1487" w:type="dxa"/>
          </w:tcPr>
          <w:p w14:paraId="03E092AA" w14:textId="0E925E8B" w:rsidR="00FA0CCB" w:rsidRPr="0028689B" w:rsidRDefault="004201D8"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55%</w:t>
            </w:r>
          </w:p>
        </w:tc>
        <w:tc>
          <w:tcPr>
            <w:tcW w:w="1487" w:type="dxa"/>
          </w:tcPr>
          <w:p w14:paraId="596734D6" w14:textId="0A999A6B" w:rsidR="00FA0CCB" w:rsidRPr="0028689B" w:rsidRDefault="004304A7"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Finlandia</w:t>
            </w:r>
          </w:p>
        </w:tc>
        <w:tc>
          <w:tcPr>
            <w:tcW w:w="1487" w:type="dxa"/>
          </w:tcPr>
          <w:p w14:paraId="6762CE9B" w14:textId="349D76E5"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40%</w:t>
            </w:r>
          </w:p>
        </w:tc>
        <w:tc>
          <w:tcPr>
            <w:tcW w:w="1487" w:type="dxa"/>
          </w:tcPr>
          <w:p w14:paraId="549CFA7B" w14:textId="7FE5C6EB"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Brasil</w:t>
            </w:r>
          </w:p>
        </w:tc>
        <w:tc>
          <w:tcPr>
            <w:tcW w:w="1487" w:type="dxa"/>
          </w:tcPr>
          <w:p w14:paraId="25422949" w14:textId="01C01DCD"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18%</w:t>
            </w:r>
          </w:p>
        </w:tc>
      </w:tr>
      <w:tr w:rsidR="00FA0CCB" w:rsidRPr="0028689B" w14:paraId="65DDDEAE" w14:textId="77777777" w:rsidTr="00FA0CCB">
        <w:tc>
          <w:tcPr>
            <w:tcW w:w="1486" w:type="dxa"/>
          </w:tcPr>
          <w:p w14:paraId="2879CA8C" w14:textId="76D9E5B7" w:rsidR="00FA0CCB" w:rsidRPr="0028689B" w:rsidRDefault="004201D8"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Reino Unido</w:t>
            </w:r>
          </w:p>
        </w:tc>
        <w:tc>
          <w:tcPr>
            <w:tcW w:w="1487" w:type="dxa"/>
          </w:tcPr>
          <w:p w14:paraId="635C284F" w14:textId="646CF7B6" w:rsidR="00FA0CCB" w:rsidRPr="0028689B" w:rsidRDefault="004201D8"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52%</w:t>
            </w:r>
          </w:p>
        </w:tc>
        <w:tc>
          <w:tcPr>
            <w:tcW w:w="1487" w:type="dxa"/>
          </w:tcPr>
          <w:p w14:paraId="61835B87" w14:textId="1ABD1230" w:rsidR="00FA0CCB" w:rsidRPr="0028689B" w:rsidRDefault="004304A7"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Austria</w:t>
            </w:r>
          </w:p>
        </w:tc>
        <w:tc>
          <w:tcPr>
            <w:tcW w:w="1487" w:type="dxa"/>
          </w:tcPr>
          <w:p w14:paraId="075B3B6A" w14:textId="75F18A7C"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35%</w:t>
            </w:r>
          </w:p>
        </w:tc>
        <w:tc>
          <w:tcPr>
            <w:tcW w:w="1487" w:type="dxa"/>
          </w:tcPr>
          <w:p w14:paraId="5202FE2A" w14:textId="08F7F7E1"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India</w:t>
            </w:r>
          </w:p>
        </w:tc>
        <w:tc>
          <w:tcPr>
            <w:tcW w:w="1487" w:type="dxa"/>
          </w:tcPr>
          <w:p w14:paraId="57DD74FC" w14:textId="0A594DF7"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14%</w:t>
            </w:r>
          </w:p>
        </w:tc>
      </w:tr>
      <w:tr w:rsidR="00FA0CCB" w:rsidRPr="0028689B" w14:paraId="553FB476" w14:textId="77777777" w:rsidTr="00FA0CCB">
        <w:tc>
          <w:tcPr>
            <w:tcW w:w="1486" w:type="dxa"/>
          </w:tcPr>
          <w:p w14:paraId="0BB4B213" w14:textId="69B740FB" w:rsidR="00FA0CCB" w:rsidRPr="0028689B" w:rsidRDefault="004201D8"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Luxemburgo</w:t>
            </w:r>
          </w:p>
        </w:tc>
        <w:tc>
          <w:tcPr>
            <w:tcW w:w="1487" w:type="dxa"/>
          </w:tcPr>
          <w:p w14:paraId="2E2035DB" w14:textId="47FB2D22" w:rsidR="00FA0CCB" w:rsidRPr="0028689B" w:rsidRDefault="004304A7"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52%</w:t>
            </w:r>
          </w:p>
        </w:tc>
        <w:tc>
          <w:tcPr>
            <w:tcW w:w="1487" w:type="dxa"/>
          </w:tcPr>
          <w:p w14:paraId="24BED9D1" w14:textId="67721955" w:rsidR="00FA0CCB" w:rsidRPr="0028689B" w:rsidRDefault="00DB3579"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Portugal</w:t>
            </w:r>
          </w:p>
        </w:tc>
        <w:tc>
          <w:tcPr>
            <w:tcW w:w="1487" w:type="dxa"/>
          </w:tcPr>
          <w:p w14:paraId="48B6F6CD" w14:textId="4913235E"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34%</w:t>
            </w:r>
          </w:p>
        </w:tc>
        <w:tc>
          <w:tcPr>
            <w:tcW w:w="1487" w:type="dxa"/>
          </w:tcPr>
          <w:p w14:paraId="2E26E214" w14:textId="3D8EC59A"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Indonesia</w:t>
            </w:r>
          </w:p>
        </w:tc>
        <w:tc>
          <w:tcPr>
            <w:tcW w:w="1487" w:type="dxa"/>
          </w:tcPr>
          <w:p w14:paraId="24BBD74F" w14:textId="3AC1A49F"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13%</w:t>
            </w:r>
          </w:p>
        </w:tc>
      </w:tr>
      <w:tr w:rsidR="00FA0CCB" w:rsidRPr="0028689B" w14:paraId="181F696A" w14:textId="77777777" w:rsidTr="00370D89">
        <w:trPr>
          <w:trHeight w:val="256"/>
        </w:trPr>
        <w:tc>
          <w:tcPr>
            <w:tcW w:w="1486" w:type="dxa"/>
          </w:tcPr>
          <w:p w14:paraId="07FAE6A4" w14:textId="77923EDE" w:rsidR="00FA0CCB" w:rsidRPr="0028689B" w:rsidRDefault="004201D8" w:rsidP="00E77F98">
            <w:pPr>
              <w:tabs>
                <w:tab w:val="left" w:pos="284"/>
              </w:tabs>
              <w:spacing w:before="40" w:after="40" w:line="360" w:lineRule="auto"/>
              <w:jc w:val="center"/>
              <w:rPr>
                <w:rFonts w:ascii="Times New Roman" w:hAnsi="Times New Roman" w:cs="Times New Roman"/>
                <w:sz w:val="24"/>
                <w:szCs w:val="24"/>
              </w:rPr>
            </w:pPr>
            <w:proofErr w:type="spellStart"/>
            <w:r w:rsidRPr="0028689B">
              <w:rPr>
                <w:rFonts w:ascii="Times New Roman" w:hAnsi="Times New Roman" w:cs="Times New Roman"/>
                <w:sz w:val="24"/>
                <w:szCs w:val="24"/>
              </w:rPr>
              <w:t>Irlana</w:t>
            </w:r>
            <w:proofErr w:type="spellEnd"/>
          </w:p>
        </w:tc>
        <w:tc>
          <w:tcPr>
            <w:tcW w:w="1487" w:type="dxa"/>
          </w:tcPr>
          <w:p w14:paraId="3F6ED7E7" w14:textId="35C8186C" w:rsidR="00FA0CCB" w:rsidRPr="0028689B" w:rsidRDefault="004304A7"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52%</w:t>
            </w:r>
          </w:p>
        </w:tc>
        <w:tc>
          <w:tcPr>
            <w:tcW w:w="1487" w:type="dxa"/>
          </w:tcPr>
          <w:p w14:paraId="1A5D86D9" w14:textId="4C757309" w:rsidR="00FA0CCB" w:rsidRPr="0028689B" w:rsidRDefault="004304A7"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República Checa</w:t>
            </w:r>
          </w:p>
        </w:tc>
        <w:tc>
          <w:tcPr>
            <w:tcW w:w="1487" w:type="dxa"/>
          </w:tcPr>
          <w:p w14:paraId="110AE2B7" w14:textId="2AC8F818"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34%</w:t>
            </w:r>
          </w:p>
        </w:tc>
        <w:tc>
          <w:tcPr>
            <w:tcW w:w="1487" w:type="dxa"/>
          </w:tcPr>
          <w:p w14:paraId="69A83C94" w14:textId="763FFFD2"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Sud</w:t>
            </w:r>
            <w:r w:rsidR="00FF679E" w:rsidRPr="0028689B">
              <w:rPr>
                <w:rFonts w:ascii="Times New Roman" w:hAnsi="Times New Roman" w:cs="Times New Roman"/>
                <w:sz w:val="24"/>
                <w:szCs w:val="24"/>
              </w:rPr>
              <w:t>á</w:t>
            </w:r>
            <w:r w:rsidRPr="0028689B">
              <w:rPr>
                <w:rFonts w:ascii="Times New Roman" w:hAnsi="Times New Roman" w:cs="Times New Roman"/>
                <w:sz w:val="24"/>
                <w:szCs w:val="24"/>
              </w:rPr>
              <w:t>frica</w:t>
            </w:r>
          </w:p>
        </w:tc>
        <w:tc>
          <w:tcPr>
            <w:tcW w:w="1487" w:type="dxa"/>
          </w:tcPr>
          <w:p w14:paraId="7628D925" w14:textId="38A1625D" w:rsidR="00FA0CCB" w:rsidRPr="0028689B" w:rsidRDefault="006176B5"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11%</w:t>
            </w:r>
          </w:p>
        </w:tc>
      </w:tr>
      <w:tr w:rsidR="006176B5" w:rsidRPr="0028689B" w14:paraId="50E20AC8" w14:textId="77777777" w:rsidTr="006176B5">
        <w:trPr>
          <w:trHeight w:val="256"/>
        </w:trPr>
        <w:tc>
          <w:tcPr>
            <w:tcW w:w="1486" w:type="dxa"/>
          </w:tcPr>
          <w:p w14:paraId="2BD9CF09" w14:textId="31222153" w:rsidR="006176B5" w:rsidRPr="0028689B" w:rsidRDefault="00136BD2"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Suiza</w:t>
            </w:r>
          </w:p>
        </w:tc>
        <w:tc>
          <w:tcPr>
            <w:tcW w:w="1487" w:type="dxa"/>
          </w:tcPr>
          <w:p w14:paraId="5DE8509A" w14:textId="3427FED9" w:rsidR="006176B5" w:rsidRPr="0028689B" w:rsidRDefault="00FF1DDD"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49%</w:t>
            </w:r>
          </w:p>
        </w:tc>
        <w:tc>
          <w:tcPr>
            <w:tcW w:w="1487" w:type="dxa"/>
          </w:tcPr>
          <w:p w14:paraId="346916F6" w14:textId="2BF1CD1C" w:rsidR="006176B5" w:rsidRPr="0028689B" w:rsidRDefault="00643E03"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Eslovaquia</w:t>
            </w:r>
          </w:p>
        </w:tc>
        <w:tc>
          <w:tcPr>
            <w:tcW w:w="1487" w:type="dxa"/>
          </w:tcPr>
          <w:p w14:paraId="3EA2AE3D" w14:textId="371D72C3" w:rsidR="006176B5" w:rsidRPr="0028689B" w:rsidRDefault="00643E03" w:rsidP="00E77F98">
            <w:pPr>
              <w:tabs>
                <w:tab w:val="left" w:pos="284"/>
              </w:tabs>
              <w:spacing w:before="40" w:after="40" w:line="360" w:lineRule="auto"/>
              <w:jc w:val="center"/>
              <w:rPr>
                <w:rFonts w:ascii="Times New Roman" w:hAnsi="Times New Roman" w:cs="Times New Roman"/>
                <w:noProof/>
                <w:sz w:val="24"/>
                <w:szCs w:val="24"/>
              </w:rPr>
            </w:pPr>
            <w:r w:rsidRPr="0028689B">
              <w:rPr>
                <w:rFonts w:ascii="Times New Roman" w:hAnsi="Times New Roman" w:cs="Times New Roman"/>
                <w:noProof/>
                <w:sz w:val="24"/>
                <w:szCs w:val="24"/>
              </w:rPr>
              <w:t>34%</w:t>
            </w:r>
          </w:p>
        </w:tc>
        <w:tc>
          <w:tcPr>
            <w:tcW w:w="1487" w:type="dxa"/>
          </w:tcPr>
          <w:p w14:paraId="02032FF5" w14:textId="77777777" w:rsidR="006176B5" w:rsidRPr="0028689B" w:rsidRDefault="006176B5" w:rsidP="00E77F98">
            <w:pPr>
              <w:tabs>
                <w:tab w:val="left" w:pos="284"/>
              </w:tabs>
              <w:spacing w:before="40" w:after="40" w:line="360" w:lineRule="auto"/>
              <w:jc w:val="center"/>
              <w:rPr>
                <w:rFonts w:ascii="Times New Roman" w:hAnsi="Times New Roman" w:cs="Times New Roman"/>
                <w:sz w:val="24"/>
                <w:szCs w:val="24"/>
              </w:rPr>
            </w:pPr>
          </w:p>
        </w:tc>
        <w:tc>
          <w:tcPr>
            <w:tcW w:w="1487" w:type="dxa"/>
          </w:tcPr>
          <w:p w14:paraId="4F537CA8" w14:textId="77777777" w:rsidR="006176B5" w:rsidRPr="0028689B" w:rsidRDefault="006176B5" w:rsidP="00E77F98">
            <w:pPr>
              <w:tabs>
                <w:tab w:val="left" w:pos="284"/>
              </w:tabs>
              <w:spacing w:before="40" w:after="40" w:line="360" w:lineRule="auto"/>
              <w:jc w:val="center"/>
              <w:rPr>
                <w:rFonts w:ascii="Times New Roman" w:hAnsi="Times New Roman" w:cs="Times New Roman"/>
                <w:sz w:val="24"/>
                <w:szCs w:val="24"/>
              </w:rPr>
            </w:pPr>
          </w:p>
        </w:tc>
      </w:tr>
      <w:tr w:rsidR="00136BD2" w:rsidRPr="0028689B" w14:paraId="14A3A72F" w14:textId="77777777" w:rsidTr="006176B5">
        <w:trPr>
          <w:trHeight w:val="256"/>
        </w:trPr>
        <w:tc>
          <w:tcPr>
            <w:tcW w:w="1486" w:type="dxa"/>
          </w:tcPr>
          <w:p w14:paraId="70AAAA49" w14:textId="76BC161C"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Australia</w:t>
            </w:r>
          </w:p>
        </w:tc>
        <w:tc>
          <w:tcPr>
            <w:tcW w:w="1487" w:type="dxa"/>
          </w:tcPr>
          <w:p w14:paraId="5E539E91" w14:textId="5D834256" w:rsidR="00136BD2" w:rsidRPr="0028689B" w:rsidRDefault="00FF1DDD"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49%</w:t>
            </w:r>
          </w:p>
        </w:tc>
        <w:tc>
          <w:tcPr>
            <w:tcW w:w="1487" w:type="dxa"/>
          </w:tcPr>
          <w:p w14:paraId="48F6F7D1" w14:textId="40387AEA" w:rsidR="00136BD2" w:rsidRPr="0028689B" w:rsidRDefault="00643E03"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Alemania</w:t>
            </w:r>
          </w:p>
        </w:tc>
        <w:tc>
          <w:tcPr>
            <w:tcW w:w="1487" w:type="dxa"/>
          </w:tcPr>
          <w:p w14:paraId="458DF048" w14:textId="66B2AB53" w:rsidR="00136BD2" w:rsidRPr="0028689B" w:rsidRDefault="00153D10" w:rsidP="00E77F98">
            <w:pPr>
              <w:tabs>
                <w:tab w:val="left" w:pos="284"/>
              </w:tabs>
              <w:spacing w:before="40" w:after="40" w:line="360" w:lineRule="auto"/>
              <w:jc w:val="center"/>
              <w:rPr>
                <w:rFonts w:ascii="Times New Roman" w:hAnsi="Times New Roman" w:cs="Times New Roman"/>
                <w:noProof/>
                <w:sz w:val="24"/>
                <w:szCs w:val="24"/>
              </w:rPr>
            </w:pPr>
            <w:r w:rsidRPr="0028689B">
              <w:rPr>
                <w:rFonts w:ascii="Times New Roman" w:hAnsi="Times New Roman" w:cs="Times New Roman"/>
                <w:noProof/>
                <w:sz w:val="24"/>
                <w:szCs w:val="24"/>
              </w:rPr>
              <w:t>31%</w:t>
            </w:r>
          </w:p>
        </w:tc>
        <w:tc>
          <w:tcPr>
            <w:tcW w:w="1487" w:type="dxa"/>
          </w:tcPr>
          <w:p w14:paraId="7147CE73" w14:textId="77777777"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p>
        </w:tc>
        <w:tc>
          <w:tcPr>
            <w:tcW w:w="1487" w:type="dxa"/>
          </w:tcPr>
          <w:p w14:paraId="6AC7F8E0" w14:textId="77777777"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p>
        </w:tc>
      </w:tr>
      <w:tr w:rsidR="00136BD2" w:rsidRPr="0028689B" w14:paraId="314629CD" w14:textId="77777777" w:rsidTr="006176B5">
        <w:trPr>
          <w:trHeight w:val="256"/>
        </w:trPr>
        <w:tc>
          <w:tcPr>
            <w:tcW w:w="1486" w:type="dxa"/>
          </w:tcPr>
          <w:p w14:paraId="2DECB82A" w14:textId="40A603EC"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Israel</w:t>
            </w:r>
          </w:p>
        </w:tc>
        <w:tc>
          <w:tcPr>
            <w:tcW w:w="1487" w:type="dxa"/>
          </w:tcPr>
          <w:p w14:paraId="6D61DBE7" w14:textId="00688EF6" w:rsidR="00136BD2" w:rsidRPr="0028689B" w:rsidRDefault="00FF1DDD"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48%</w:t>
            </w:r>
          </w:p>
        </w:tc>
        <w:tc>
          <w:tcPr>
            <w:tcW w:w="1487" w:type="dxa"/>
          </w:tcPr>
          <w:p w14:paraId="5E3E130B" w14:textId="0F00EC75" w:rsidR="00136BD2" w:rsidRPr="0028689B" w:rsidRDefault="00643E03"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Hungría</w:t>
            </w:r>
          </w:p>
        </w:tc>
        <w:tc>
          <w:tcPr>
            <w:tcW w:w="1487" w:type="dxa"/>
          </w:tcPr>
          <w:p w14:paraId="0E6D7D04" w14:textId="75B977C1" w:rsidR="00136BD2" w:rsidRPr="0028689B" w:rsidRDefault="00153D10" w:rsidP="00E77F98">
            <w:pPr>
              <w:tabs>
                <w:tab w:val="left" w:pos="284"/>
              </w:tabs>
              <w:spacing w:before="40" w:after="40" w:line="360" w:lineRule="auto"/>
              <w:jc w:val="center"/>
              <w:rPr>
                <w:rFonts w:ascii="Times New Roman" w:hAnsi="Times New Roman" w:cs="Times New Roman"/>
                <w:noProof/>
                <w:sz w:val="24"/>
                <w:szCs w:val="24"/>
              </w:rPr>
            </w:pPr>
            <w:r w:rsidRPr="0028689B">
              <w:rPr>
                <w:rFonts w:ascii="Times New Roman" w:hAnsi="Times New Roman" w:cs="Times New Roman"/>
                <w:noProof/>
                <w:sz w:val="24"/>
                <w:szCs w:val="24"/>
              </w:rPr>
              <w:t>31%</w:t>
            </w:r>
          </w:p>
        </w:tc>
        <w:tc>
          <w:tcPr>
            <w:tcW w:w="1487" w:type="dxa"/>
          </w:tcPr>
          <w:p w14:paraId="1961CB23" w14:textId="688ECB77"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p>
        </w:tc>
        <w:tc>
          <w:tcPr>
            <w:tcW w:w="1487" w:type="dxa"/>
          </w:tcPr>
          <w:p w14:paraId="57BAB888" w14:textId="37495932"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p>
        </w:tc>
      </w:tr>
      <w:tr w:rsidR="00136BD2" w:rsidRPr="0028689B" w14:paraId="63C9196A" w14:textId="77777777" w:rsidTr="006176B5">
        <w:trPr>
          <w:trHeight w:val="256"/>
        </w:trPr>
        <w:tc>
          <w:tcPr>
            <w:tcW w:w="1486" w:type="dxa"/>
          </w:tcPr>
          <w:p w14:paraId="7070580A" w14:textId="56328433"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Estados Unidos</w:t>
            </w:r>
          </w:p>
        </w:tc>
        <w:tc>
          <w:tcPr>
            <w:tcW w:w="1487" w:type="dxa"/>
          </w:tcPr>
          <w:p w14:paraId="20EE7105" w14:textId="5765B0B3" w:rsidR="00136BD2" w:rsidRPr="0028689B" w:rsidRDefault="00FF1DDD"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48%</w:t>
            </w:r>
          </w:p>
        </w:tc>
        <w:tc>
          <w:tcPr>
            <w:tcW w:w="1487" w:type="dxa"/>
          </w:tcPr>
          <w:p w14:paraId="76728A2E" w14:textId="3CB8B737" w:rsidR="00136BD2" w:rsidRPr="0028689B" w:rsidRDefault="00643E03"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Turquía</w:t>
            </w:r>
          </w:p>
        </w:tc>
        <w:tc>
          <w:tcPr>
            <w:tcW w:w="1487" w:type="dxa"/>
          </w:tcPr>
          <w:p w14:paraId="232BFDD9" w14:textId="41B4E22B" w:rsidR="00136BD2" w:rsidRPr="0028689B" w:rsidRDefault="00153D10" w:rsidP="00E77F98">
            <w:pPr>
              <w:tabs>
                <w:tab w:val="left" w:pos="284"/>
              </w:tabs>
              <w:spacing w:before="40" w:after="40" w:line="360" w:lineRule="auto"/>
              <w:jc w:val="center"/>
              <w:rPr>
                <w:rFonts w:ascii="Times New Roman" w:hAnsi="Times New Roman" w:cs="Times New Roman"/>
                <w:noProof/>
                <w:sz w:val="24"/>
                <w:szCs w:val="24"/>
              </w:rPr>
            </w:pPr>
            <w:r w:rsidRPr="0028689B">
              <w:rPr>
                <w:rFonts w:ascii="Times New Roman" w:hAnsi="Times New Roman" w:cs="Times New Roman"/>
                <w:noProof/>
                <w:sz w:val="24"/>
                <w:szCs w:val="24"/>
              </w:rPr>
              <w:t>30%</w:t>
            </w:r>
          </w:p>
        </w:tc>
        <w:tc>
          <w:tcPr>
            <w:tcW w:w="1487" w:type="dxa"/>
          </w:tcPr>
          <w:p w14:paraId="69B6407A" w14:textId="7A6782C9"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p>
        </w:tc>
        <w:tc>
          <w:tcPr>
            <w:tcW w:w="1487" w:type="dxa"/>
          </w:tcPr>
          <w:p w14:paraId="0FD46F93" w14:textId="612F4D13"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p>
        </w:tc>
      </w:tr>
      <w:tr w:rsidR="006176B5" w:rsidRPr="0028689B" w14:paraId="34D36F77" w14:textId="77777777" w:rsidTr="006176B5">
        <w:trPr>
          <w:trHeight w:val="256"/>
        </w:trPr>
        <w:tc>
          <w:tcPr>
            <w:tcW w:w="1486" w:type="dxa"/>
          </w:tcPr>
          <w:p w14:paraId="7904B46D" w14:textId="4651CEBC" w:rsidR="006176B5" w:rsidRPr="0028689B" w:rsidRDefault="00136BD2"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Suecia</w:t>
            </w:r>
          </w:p>
        </w:tc>
        <w:tc>
          <w:tcPr>
            <w:tcW w:w="1487" w:type="dxa"/>
          </w:tcPr>
          <w:p w14:paraId="448AB7DA" w14:textId="29D99ADF" w:rsidR="006176B5" w:rsidRPr="0028689B" w:rsidRDefault="00FF1DDD"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48%</w:t>
            </w:r>
          </w:p>
        </w:tc>
        <w:tc>
          <w:tcPr>
            <w:tcW w:w="1487" w:type="dxa"/>
          </w:tcPr>
          <w:p w14:paraId="18BC0296" w14:textId="54839770" w:rsidR="006176B5" w:rsidRPr="0028689B" w:rsidRDefault="00643E03"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Chile</w:t>
            </w:r>
          </w:p>
        </w:tc>
        <w:tc>
          <w:tcPr>
            <w:tcW w:w="1487" w:type="dxa"/>
          </w:tcPr>
          <w:p w14:paraId="7FBBE68A" w14:textId="65665E10" w:rsidR="006176B5" w:rsidRPr="0028689B" w:rsidRDefault="00153D10" w:rsidP="00E77F98">
            <w:pPr>
              <w:tabs>
                <w:tab w:val="left" w:pos="284"/>
              </w:tabs>
              <w:spacing w:before="40" w:after="40" w:line="360" w:lineRule="auto"/>
              <w:jc w:val="center"/>
              <w:rPr>
                <w:rFonts w:ascii="Times New Roman" w:hAnsi="Times New Roman" w:cs="Times New Roman"/>
                <w:noProof/>
                <w:sz w:val="24"/>
                <w:szCs w:val="24"/>
              </w:rPr>
            </w:pPr>
            <w:r w:rsidRPr="0028689B">
              <w:rPr>
                <w:rFonts w:ascii="Times New Roman" w:hAnsi="Times New Roman" w:cs="Times New Roman"/>
                <w:noProof/>
                <w:sz w:val="24"/>
                <w:szCs w:val="24"/>
              </w:rPr>
              <w:t>30%</w:t>
            </w:r>
          </w:p>
        </w:tc>
        <w:tc>
          <w:tcPr>
            <w:tcW w:w="1487" w:type="dxa"/>
          </w:tcPr>
          <w:p w14:paraId="66884939" w14:textId="77777777" w:rsidR="006176B5" w:rsidRPr="0028689B" w:rsidRDefault="006176B5" w:rsidP="00E77F98">
            <w:pPr>
              <w:tabs>
                <w:tab w:val="left" w:pos="284"/>
              </w:tabs>
              <w:spacing w:before="40" w:after="40" w:line="360" w:lineRule="auto"/>
              <w:jc w:val="center"/>
              <w:rPr>
                <w:rFonts w:ascii="Times New Roman" w:hAnsi="Times New Roman" w:cs="Times New Roman"/>
                <w:sz w:val="24"/>
                <w:szCs w:val="24"/>
              </w:rPr>
            </w:pPr>
          </w:p>
        </w:tc>
        <w:tc>
          <w:tcPr>
            <w:tcW w:w="1487" w:type="dxa"/>
          </w:tcPr>
          <w:p w14:paraId="156DEABF" w14:textId="77777777" w:rsidR="006176B5" w:rsidRPr="0028689B" w:rsidRDefault="006176B5" w:rsidP="00E77F98">
            <w:pPr>
              <w:tabs>
                <w:tab w:val="left" w:pos="284"/>
              </w:tabs>
              <w:spacing w:before="40" w:after="40" w:line="360" w:lineRule="auto"/>
              <w:jc w:val="center"/>
              <w:rPr>
                <w:rFonts w:ascii="Times New Roman" w:hAnsi="Times New Roman" w:cs="Times New Roman"/>
                <w:sz w:val="24"/>
                <w:szCs w:val="24"/>
              </w:rPr>
            </w:pPr>
          </w:p>
        </w:tc>
      </w:tr>
      <w:tr w:rsidR="00136BD2" w:rsidRPr="0028689B" w14:paraId="7F578DC3" w14:textId="77777777" w:rsidTr="006176B5">
        <w:trPr>
          <w:trHeight w:val="256"/>
        </w:trPr>
        <w:tc>
          <w:tcPr>
            <w:tcW w:w="1486" w:type="dxa"/>
          </w:tcPr>
          <w:p w14:paraId="5EA43E62" w14:textId="4EF77F3A"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Dinamarca</w:t>
            </w:r>
          </w:p>
        </w:tc>
        <w:tc>
          <w:tcPr>
            <w:tcW w:w="1487" w:type="dxa"/>
          </w:tcPr>
          <w:p w14:paraId="5DFA1821" w14:textId="25D9B8B6" w:rsidR="00136BD2" w:rsidRPr="0028689B" w:rsidRDefault="00FF1DDD"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46%</w:t>
            </w:r>
          </w:p>
        </w:tc>
        <w:tc>
          <w:tcPr>
            <w:tcW w:w="1487" w:type="dxa"/>
          </w:tcPr>
          <w:p w14:paraId="5E7CA4B8" w14:textId="652DF836" w:rsidR="00136BD2" w:rsidRPr="0028689B" w:rsidRDefault="00643E03"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Colombia</w:t>
            </w:r>
          </w:p>
        </w:tc>
        <w:tc>
          <w:tcPr>
            <w:tcW w:w="1487" w:type="dxa"/>
          </w:tcPr>
          <w:p w14:paraId="6EC814E9" w14:textId="10B14121" w:rsidR="00136BD2" w:rsidRPr="0028689B" w:rsidRDefault="00153D10" w:rsidP="00E77F98">
            <w:pPr>
              <w:tabs>
                <w:tab w:val="left" w:pos="284"/>
              </w:tabs>
              <w:spacing w:before="40" w:after="40" w:line="360" w:lineRule="auto"/>
              <w:jc w:val="center"/>
              <w:rPr>
                <w:rFonts w:ascii="Times New Roman" w:hAnsi="Times New Roman" w:cs="Times New Roman"/>
                <w:noProof/>
                <w:sz w:val="24"/>
                <w:szCs w:val="24"/>
              </w:rPr>
            </w:pPr>
            <w:r w:rsidRPr="0028689B">
              <w:rPr>
                <w:rFonts w:ascii="Times New Roman" w:hAnsi="Times New Roman" w:cs="Times New Roman"/>
                <w:noProof/>
                <w:sz w:val="24"/>
                <w:szCs w:val="24"/>
              </w:rPr>
              <w:t>29%</w:t>
            </w:r>
          </w:p>
        </w:tc>
        <w:tc>
          <w:tcPr>
            <w:tcW w:w="1487" w:type="dxa"/>
          </w:tcPr>
          <w:p w14:paraId="0CD72855" w14:textId="344FCD8E"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p>
        </w:tc>
        <w:tc>
          <w:tcPr>
            <w:tcW w:w="1487" w:type="dxa"/>
          </w:tcPr>
          <w:p w14:paraId="3532F7C2" w14:textId="71CEA410"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p>
        </w:tc>
      </w:tr>
      <w:tr w:rsidR="00136BD2" w:rsidRPr="0028689B" w14:paraId="5EF2F9F2" w14:textId="77777777" w:rsidTr="006176B5">
        <w:trPr>
          <w:trHeight w:val="256"/>
        </w:trPr>
        <w:tc>
          <w:tcPr>
            <w:tcW w:w="1486" w:type="dxa"/>
          </w:tcPr>
          <w:p w14:paraId="46F70CB8" w14:textId="44E60860"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Francia</w:t>
            </w:r>
          </w:p>
        </w:tc>
        <w:tc>
          <w:tcPr>
            <w:tcW w:w="1487" w:type="dxa"/>
          </w:tcPr>
          <w:p w14:paraId="0EAFD25A" w14:textId="222D4A70" w:rsidR="00136BD2" w:rsidRPr="0028689B" w:rsidRDefault="00694FC0"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45%</w:t>
            </w:r>
          </w:p>
        </w:tc>
        <w:tc>
          <w:tcPr>
            <w:tcW w:w="1487" w:type="dxa"/>
          </w:tcPr>
          <w:p w14:paraId="0A258291" w14:textId="5EE82ADE" w:rsidR="00136BD2" w:rsidRPr="0028689B" w:rsidRDefault="00643E03"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Costa Rica</w:t>
            </w:r>
          </w:p>
        </w:tc>
        <w:tc>
          <w:tcPr>
            <w:tcW w:w="1487" w:type="dxa"/>
          </w:tcPr>
          <w:p w14:paraId="5C0EAD2C" w14:textId="5CDCA4EA" w:rsidR="00136BD2" w:rsidRPr="0028689B" w:rsidRDefault="00153D10" w:rsidP="00E77F98">
            <w:pPr>
              <w:tabs>
                <w:tab w:val="left" w:pos="284"/>
              </w:tabs>
              <w:spacing w:before="40" w:after="40" w:line="360" w:lineRule="auto"/>
              <w:jc w:val="center"/>
              <w:rPr>
                <w:rFonts w:ascii="Times New Roman" w:hAnsi="Times New Roman" w:cs="Times New Roman"/>
                <w:noProof/>
                <w:sz w:val="24"/>
                <w:szCs w:val="24"/>
              </w:rPr>
            </w:pPr>
            <w:r w:rsidRPr="0028689B">
              <w:rPr>
                <w:rFonts w:ascii="Times New Roman" w:hAnsi="Times New Roman" w:cs="Times New Roman"/>
                <w:noProof/>
                <w:sz w:val="24"/>
                <w:szCs w:val="24"/>
              </w:rPr>
              <w:t>29%</w:t>
            </w:r>
          </w:p>
        </w:tc>
        <w:tc>
          <w:tcPr>
            <w:tcW w:w="1487" w:type="dxa"/>
          </w:tcPr>
          <w:p w14:paraId="3A16492D" w14:textId="63498CD0"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p>
        </w:tc>
        <w:tc>
          <w:tcPr>
            <w:tcW w:w="1487" w:type="dxa"/>
          </w:tcPr>
          <w:p w14:paraId="0402152C" w14:textId="0C6F5853"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p>
        </w:tc>
      </w:tr>
      <w:tr w:rsidR="00136BD2" w:rsidRPr="0028689B" w14:paraId="41647819" w14:textId="77777777" w:rsidTr="006176B5">
        <w:trPr>
          <w:trHeight w:val="256"/>
        </w:trPr>
        <w:tc>
          <w:tcPr>
            <w:tcW w:w="1486" w:type="dxa"/>
          </w:tcPr>
          <w:p w14:paraId="19826215" w14:textId="6E4AA12D" w:rsidR="00136BD2" w:rsidRPr="0028689B" w:rsidRDefault="00175771"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Países Bajos</w:t>
            </w:r>
          </w:p>
        </w:tc>
        <w:tc>
          <w:tcPr>
            <w:tcW w:w="1487" w:type="dxa"/>
          </w:tcPr>
          <w:p w14:paraId="39F98CA8" w14:textId="408B9B02" w:rsidR="00136BD2" w:rsidRPr="0028689B" w:rsidRDefault="00694FC0"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45%</w:t>
            </w:r>
          </w:p>
        </w:tc>
        <w:tc>
          <w:tcPr>
            <w:tcW w:w="1487" w:type="dxa"/>
          </w:tcPr>
          <w:p w14:paraId="3595D862" w14:textId="35C700BE" w:rsidR="00136BD2" w:rsidRPr="0028689B" w:rsidRDefault="00643E03"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Italia</w:t>
            </w:r>
          </w:p>
        </w:tc>
        <w:tc>
          <w:tcPr>
            <w:tcW w:w="1487" w:type="dxa"/>
          </w:tcPr>
          <w:p w14:paraId="509AE8CA" w14:textId="582C98A4" w:rsidR="00136BD2" w:rsidRPr="0028689B" w:rsidRDefault="00153D10" w:rsidP="00E77F98">
            <w:pPr>
              <w:tabs>
                <w:tab w:val="left" w:pos="284"/>
              </w:tabs>
              <w:spacing w:before="40" w:after="40" w:line="360" w:lineRule="auto"/>
              <w:jc w:val="center"/>
              <w:rPr>
                <w:rFonts w:ascii="Times New Roman" w:hAnsi="Times New Roman" w:cs="Times New Roman"/>
                <w:noProof/>
                <w:sz w:val="24"/>
                <w:szCs w:val="24"/>
              </w:rPr>
            </w:pPr>
            <w:r w:rsidRPr="0028689B">
              <w:rPr>
                <w:rFonts w:ascii="Times New Roman" w:hAnsi="Times New Roman" w:cs="Times New Roman"/>
                <w:noProof/>
                <w:sz w:val="24"/>
                <w:szCs w:val="24"/>
              </w:rPr>
              <w:t>25%</w:t>
            </w:r>
          </w:p>
        </w:tc>
        <w:tc>
          <w:tcPr>
            <w:tcW w:w="1487" w:type="dxa"/>
          </w:tcPr>
          <w:p w14:paraId="61E16845" w14:textId="77777777"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p>
        </w:tc>
        <w:tc>
          <w:tcPr>
            <w:tcW w:w="1487" w:type="dxa"/>
          </w:tcPr>
          <w:p w14:paraId="1F6A0592" w14:textId="10D42DE1"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p>
        </w:tc>
      </w:tr>
      <w:tr w:rsidR="00136BD2" w:rsidRPr="0028689B" w14:paraId="44575FB7" w14:textId="77777777" w:rsidTr="006176B5">
        <w:trPr>
          <w:trHeight w:val="256"/>
        </w:trPr>
        <w:tc>
          <w:tcPr>
            <w:tcW w:w="1486" w:type="dxa"/>
          </w:tcPr>
          <w:p w14:paraId="2709A38F" w14:textId="0BB6660C" w:rsidR="00136BD2" w:rsidRPr="0028689B" w:rsidRDefault="00175771"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Nueva Zelanda</w:t>
            </w:r>
          </w:p>
        </w:tc>
        <w:tc>
          <w:tcPr>
            <w:tcW w:w="1487" w:type="dxa"/>
          </w:tcPr>
          <w:p w14:paraId="37D477D2" w14:textId="17035091" w:rsidR="00136BD2" w:rsidRPr="0028689B" w:rsidRDefault="00694FC0"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45%</w:t>
            </w:r>
          </w:p>
        </w:tc>
        <w:tc>
          <w:tcPr>
            <w:tcW w:w="1487" w:type="dxa"/>
          </w:tcPr>
          <w:p w14:paraId="6D058914" w14:textId="45E3CD3B" w:rsidR="00136BD2" w:rsidRPr="0028689B" w:rsidRDefault="00643E03"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Arabia</w:t>
            </w:r>
          </w:p>
        </w:tc>
        <w:tc>
          <w:tcPr>
            <w:tcW w:w="1487" w:type="dxa"/>
          </w:tcPr>
          <w:p w14:paraId="0868C3A6" w14:textId="536BFE36" w:rsidR="00136BD2" w:rsidRPr="0028689B" w:rsidRDefault="00FF679E" w:rsidP="00E77F98">
            <w:pPr>
              <w:tabs>
                <w:tab w:val="left" w:pos="284"/>
              </w:tabs>
              <w:spacing w:before="40" w:after="40" w:line="360" w:lineRule="auto"/>
              <w:jc w:val="center"/>
              <w:rPr>
                <w:rFonts w:ascii="Times New Roman" w:hAnsi="Times New Roman" w:cs="Times New Roman"/>
                <w:noProof/>
                <w:sz w:val="24"/>
                <w:szCs w:val="24"/>
              </w:rPr>
            </w:pPr>
            <w:r w:rsidRPr="0028689B">
              <w:rPr>
                <w:rFonts w:ascii="Times New Roman" w:hAnsi="Times New Roman" w:cs="Times New Roman"/>
                <w:noProof/>
                <w:sz w:val="24"/>
                <w:szCs w:val="24"/>
              </w:rPr>
              <w:t>25%</w:t>
            </w:r>
          </w:p>
        </w:tc>
        <w:tc>
          <w:tcPr>
            <w:tcW w:w="1487" w:type="dxa"/>
          </w:tcPr>
          <w:p w14:paraId="362662B0" w14:textId="77777777"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p>
        </w:tc>
        <w:tc>
          <w:tcPr>
            <w:tcW w:w="1487" w:type="dxa"/>
          </w:tcPr>
          <w:p w14:paraId="79A4DA4B" w14:textId="77777777"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p>
        </w:tc>
      </w:tr>
      <w:tr w:rsidR="00175771" w:rsidRPr="0028689B" w14:paraId="534FE06A" w14:textId="77777777" w:rsidTr="006176B5">
        <w:trPr>
          <w:trHeight w:val="256"/>
        </w:trPr>
        <w:tc>
          <w:tcPr>
            <w:tcW w:w="1486" w:type="dxa"/>
          </w:tcPr>
          <w:p w14:paraId="62679C42" w14:textId="5CFB2683" w:rsidR="00175771" w:rsidRPr="0028689B" w:rsidRDefault="00175771"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Bélgica</w:t>
            </w:r>
          </w:p>
        </w:tc>
        <w:tc>
          <w:tcPr>
            <w:tcW w:w="1487" w:type="dxa"/>
          </w:tcPr>
          <w:p w14:paraId="3BE289CF" w14:textId="760A8E41" w:rsidR="00175771" w:rsidRPr="0028689B" w:rsidRDefault="00694FC0"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45%</w:t>
            </w:r>
          </w:p>
        </w:tc>
        <w:tc>
          <w:tcPr>
            <w:tcW w:w="1487" w:type="dxa"/>
          </w:tcPr>
          <w:p w14:paraId="7CCDB15F" w14:textId="77777777" w:rsidR="00175771" w:rsidRPr="0028689B" w:rsidRDefault="00175771" w:rsidP="00E77F98">
            <w:pPr>
              <w:tabs>
                <w:tab w:val="left" w:pos="284"/>
              </w:tabs>
              <w:spacing w:before="40" w:after="40" w:line="360" w:lineRule="auto"/>
              <w:jc w:val="center"/>
              <w:rPr>
                <w:rFonts w:ascii="Times New Roman" w:hAnsi="Times New Roman" w:cs="Times New Roman"/>
                <w:sz w:val="24"/>
                <w:szCs w:val="24"/>
              </w:rPr>
            </w:pPr>
          </w:p>
        </w:tc>
        <w:tc>
          <w:tcPr>
            <w:tcW w:w="1487" w:type="dxa"/>
          </w:tcPr>
          <w:p w14:paraId="7A1A8E48" w14:textId="77777777" w:rsidR="00175771" w:rsidRPr="0028689B" w:rsidRDefault="00175771" w:rsidP="00E77F98">
            <w:pPr>
              <w:tabs>
                <w:tab w:val="left" w:pos="284"/>
              </w:tabs>
              <w:spacing w:before="40" w:after="40" w:line="360" w:lineRule="auto"/>
              <w:jc w:val="center"/>
              <w:rPr>
                <w:rFonts w:ascii="Times New Roman" w:hAnsi="Times New Roman" w:cs="Times New Roman"/>
                <w:noProof/>
                <w:sz w:val="24"/>
                <w:szCs w:val="24"/>
              </w:rPr>
            </w:pPr>
          </w:p>
        </w:tc>
        <w:tc>
          <w:tcPr>
            <w:tcW w:w="1487" w:type="dxa"/>
          </w:tcPr>
          <w:p w14:paraId="67D15B43" w14:textId="77777777" w:rsidR="00175771" w:rsidRPr="0028689B" w:rsidRDefault="00175771" w:rsidP="00E77F98">
            <w:pPr>
              <w:tabs>
                <w:tab w:val="left" w:pos="284"/>
              </w:tabs>
              <w:spacing w:before="40" w:after="40" w:line="360" w:lineRule="auto"/>
              <w:jc w:val="center"/>
              <w:rPr>
                <w:rFonts w:ascii="Times New Roman" w:hAnsi="Times New Roman" w:cs="Times New Roman"/>
                <w:sz w:val="24"/>
                <w:szCs w:val="24"/>
              </w:rPr>
            </w:pPr>
          </w:p>
        </w:tc>
        <w:tc>
          <w:tcPr>
            <w:tcW w:w="1487" w:type="dxa"/>
          </w:tcPr>
          <w:p w14:paraId="65A703F6" w14:textId="77777777" w:rsidR="00175771" w:rsidRPr="0028689B" w:rsidRDefault="00175771" w:rsidP="00E77F98">
            <w:pPr>
              <w:tabs>
                <w:tab w:val="left" w:pos="284"/>
              </w:tabs>
              <w:spacing w:before="40" w:after="40" w:line="360" w:lineRule="auto"/>
              <w:jc w:val="center"/>
              <w:rPr>
                <w:rFonts w:ascii="Times New Roman" w:hAnsi="Times New Roman" w:cs="Times New Roman"/>
                <w:sz w:val="24"/>
                <w:szCs w:val="24"/>
              </w:rPr>
            </w:pPr>
          </w:p>
        </w:tc>
      </w:tr>
      <w:tr w:rsidR="00175771" w:rsidRPr="0028689B" w14:paraId="5CE6BE6D" w14:textId="77777777" w:rsidTr="006176B5">
        <w:trPr>
          <w:trHeight w:val="256"/>
        </w:trPr>
        <w:tc>
          <w:tcPr>
            <w:tcW w:w="1486" w:type="dxa"/>
          </w:tcPr>
          <w:p w14:paraId="6D94986B" w14:textId="2FE6E302" w:rsidR="00175771" w:rsidRPr="0028689B" w:rsidRDefault="00EC4655"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Polonia</w:t>
            </w:r>
          </w:p>
        </w:tc>
        <w:tc>
          <w:tcPr>
            <w:tcW w:w="1487" w:type="dxa"/>
          </w:tcPr>
          <w:p w14:paraId="78A82CD7" w14:textId="4B99ECAB" w:rsidR="00175771" w:rsidRPr="0028689B" w:rsidRDefault="00694FC0"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44%</w:t>
            </w:r>
          </w:p>
        </w:tc>
        <w:tc>
          <w:tcPr>
            <w:tcW w:w="1487" w:type="dxa"/>
          </w:tcPr>
          <w:p w14:paraId="66CD2A91" w14:textId="77777777" w:rsidR="00175771" w:rsidRPr="0028689B" w:rsidRDefault="00175771" w:rsidP="00E77F98">
            <w:pPr>
              <w:tabs>
                <w:tab w:val="left" w:pos="284"/>
              </w:tabs>
              <w:spacing w:before="40" w:after="40" w:line="360" w:lineRule="auto"/>
              <w:jc w:val="center"/>
              <w:rPr>
                <w:rFonts w:ascii="Times New Roman" w:hAnsi="Times New Roman" w:cs="Times New Roman"/>
                <w:sz w:val="24"/>
                <w:szCs w:val="24"/>
              </w:rPr>
            </w:pPr>
          </w:p>
        </w:tc>
        <w:tc>
          <w:tcPr>
            <w:tcW w:w="1487" w:type="dxa"/>
          </w:tcPr>
          <w:p w14:paraId="67E6DD42" w14:textId="77777777" w:rsidR="00175771" w:rsidRPr="0028689B" w:rsidRDefault="00175771" w:rsidP="00E77F98">
            <w:pPr>
              <w:tabs>
                <w:tab w:val="left" w:pos="284"/>
              </w:tabs>
              <w:spacing w:before="40" w:after="40" w:line="360" w:lineRule="auto"/>
              <w:jc w:val="center"/>
              <w:rPr>
                <w:rFonts w:ascii="Times New Roman" w:hAnsi="Times New Roman" w:cs="Times New Roman"/>
                <w:noProof/>
                <w:sz w:val="24"/>
                <w:szCs w:val="24"/>
              </w:rPr>
            </w:pPr>
          </w:p>
        </w:tc>
        <w:tc>
          <w:tcPr>
            <w:tcW w:w="1487" w:type="dxa"/>
          </w:tcPr>
          <w:p w14:paraId="1EC30BFD" w14:textId="77777777" w:rsidR="00175771" w:rsidRPr="0028689B" w:rsidRDefault="00175771" w:rsidP="00E77F98">
            <w:pPr>
              <w:tabs>
                <w:tab w:val="left" w:pos="284"/>
              </w:tabs>
              <w:spacing w:before="40" w:after="40" w:line="360" w:lineRule="auto"/>
              <w:jc w:val="center"/>
              <w:rPr>
                <w:rFonts w:ascii="Times New Roman" w:hAnsi="Times New Roman" w:cs="Times New Roman"/>
                <w:sz w:val="24"/>
                <w:szCs w:val="24"/>
              </w:rPr>
            </w:pPr>
          </w:p>
        </w:tc>
        <w:tc>
          <w:tcPr>
            <w:tcW w:w="1487" w:type="dxa"/>
          </w:tcPr>
          <w:p w14:paraId="3BAFA8AD" w14:textId="77777777" w:rsidR="00175771" w:rsidRPr="0028689B" w:rsidRDefault="00175771" w:rsidP="00E77F98">
            <w:pPr>
              <w:tabs>
                <w:tab w:val="left" w:pos="284"/>
              </w:tabs>
              <w:spacing w:before="40" w:after="40" w:line="360" w:lineRule="auto"/>
              <w:jc w:val="center"/>
              <w:rPr>
                <w:rFonts w:ascii="Times New Roman" w:hAnsi="Times New Roman" w:cs="Times New Roman"/>
                <w:sz w:val="24"/>
                <w:szCs w:val="24"/>
              </w:rPr>
            </w:pPr>
          </w:p>
        </w:tc>
      </w:tr>
      <w:tr w:rsidR="00EC4655" w:rsidRPr="0028689B" w14:paraId="558E409B" w14:textId="77777777" w:rsidTr="006176B5">
        <w:trPr>
          <w:trHeight w:val="256"/>
        </w:trPr>
        <w:tc>
          <w:tcPr>
            <w:tcW w:w="1486" w:type="dxa"/>
          </w:tcPr>
          <w:p w14:paraId="288DF3D2" w14:textId="7381FFC5" w:rsidR="00EC4655" w:rsidRPr="0028689B" w:rsidRDefault="00EC4655"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Eslovenia</w:t>
            </w:r>
          </w:p>
        </w:tc>
        <w:tc>
          <w:tcPr>
            <w:tcW w:w="1487" w:type="dxa"/>
          </w:tcPr>
          <w:p w14:paraId="68CF89C4" w14:textId="0E0F327C" w:rsidR="00EC4655" w:rsidRPr="0028689B" w:rsidRDefault="00694FC0"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44%</w:t>
            </w:r>
          </w:p>
        </w:tc>
        <w:tc>
          <w:tcPr>
            <w:tcW w:w="1487" w:type="dxa"/>
          </w:tcPr>
          <w:p w14:paraId="7CE5132B" w14:textId="77777777" w:rsidR="00EC4655" w:rsidRPr="0028689B" w:rsidRDefault="00EC4655" w:rsidP="00E77F98">
            <w:pPr>
              <w:tabs>
                <w:tab w:val="left" w:pos="284"/>
              </w:tabs>
              <w:spacing w:before="40" w:after="40" w:line="360" w:lineRule="auto"/>
              <w:jc w:val="center"/>
              <w:rPr>
                <w:rFonts w:ascii="Times New Roman" w:hAnsi="Times New Roman" w:cs="Times New Roman"/>
                <w:sz w:val="24"/>
                <w:szCs w:val="24"/>
              </w:rPr>
            </w:pPr>
          </w:p>
        </w:tc>
        <w:tc>
          <w:tcPr>
            <w:tcW w:w="1487" w:type="dxa"/>
          </w:tcPr>
          <w:p w14:paraId="7B1D5932" w14:textId="77777777" w:rsidR="00EC4655" w:rsidRPr="0028689B" w:rsidRDefault="00EC4655" w:rsidP="00E77F98">
            <w:pPr>
              <w:tabs>
                <w:tab w:val="left" w:pos="284"/>
              </w:tabs>
              <w:spacing w:before="40" w:after="40" w:line="360" w:lineRule="auto"/>
              <w:jc w:val="center"/>
              <w:rPr>
                <w:rFonts w:ascii="Times New Roman" w:hAnsi="Times New Roman" w:cs="Times New Roman"/>
                <w:noProof/>
                <w:sz w:val="24"/>
                <w:szCs w:val="24"/>
              </w:rPr>
            </w:pPr>
          </w:p>
        </w:tc>
        <w:tc>
          <w:tcPr>
            <w:tcW w:w="1487" w:type="dxa"/>
          </w:tcPr>
          <w:p w14:paraId="2FF3C7AE" w14:textId="77777777" w:rsidR="00EC4655" w:rsidRPr="0028689B" w:rsidRDefault="00EC4655" w:rsidP="00E77F98">
            <w:pPr>
              <w:tabs>
                <w:tab w:val="left" w:pos="284"/>
              </w:tabs>
              <w:spacing w:before="40" w:after="40" w:line="360" w:lineRule="auto"/>
              <w:jc w:val="center"/>
              <w:rPr>
                <w:rFonts w:ascii="Times New Roman" w:hAnsi="Times New Roman" w:cs="Times New Roman"/>
                <w:sz w:val="24"/>
                <w:szCs w:val="24"/>
              </w:rPr>
            </w:pPr>
          </w:p>
        </w:tc>
        <w:tc>
          <w:tcPr>
            <w:tcW w:w="1487" w:type="dxa"/>
          </w:tcPr>
          <w:p w14:paraId="36402312" w14:textId="77777777" w:rsidR="00EC4655" w:rsidRPr="0028689B" w:rsidRDefault="00EC4655" w:rsidP="00E77F98">
            <w:pPr>
              <w:tabs>
                <w:tab w:val="left" w:pos="284"/>
              </w:tabs>
              <w:spacing w:before="40" w:after="40" w:line="360" w:lineRule="auto"/>
              <w:jc w:val="center"/>
              <w:rPr>
                <w:rFonts w:ascii="Times New Roman" w:hAnsi="Times New Roman" w:cs="Times New Roman"/>
                <w:sz w:val="24"/>
                <w:szCs w:val="24"/>
              </w:rPr>
            </w:pPr>
          </w:p>
        </w:tc>
      </w:tr>
      <w:tr w:rsidR="00EC4655" w:rsidRPr="0028689B" w14:paraId="25A49540" w14:textId="77777777" w:rsidTr="006176B5">
        <w:trPr>
          <w:trHeight w:val="256"/>
        </w:trPr>
        <w:tc>
          <w:tcPr>
            <w:tcW w:w="1486" w:type="dxa"/>
          </w:tcPr>
          <w:p w14:paraId="7A3598E6" w14:textId="7D46AC31" w:rsidR="00EC4655" w:rsidRPr="0028689B" w:rsidRDefault="00EC4655"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Letonia</w:t>
            </w:r>
          </w:p>
        </w:tc>
        <w:tc>
          <w:tcPr>
            <w:tcW w:w="1487" w:type="dxa"/>
          </w:tcPr>
          <w:p w14:paraId="7537AC3C" w14:textId="10956D1A" w:rsidR="00EC4655" w:rsidRPr="0028689B" w:rsidRDefault="00694FC0"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44%</w:t>
            </w:r>
          </w:p>
        </w:tc>
        <w:tc>
          <w:tcPr>
            <w:tcW w:w="1487" w:type="dxa"/>
          </w:tcPr>
          <w:p w14:paraId="73D75D39" w14:textId="77777777" w:rsidR="00EC4655" w:rsidRPr="0028689B" w:rsidRDefault="00EC4655" w:rsidP="00E77F98">
            <w:pPr>
              <w:tabs>
                <w:tab w:val="left" w:pos="284"/>
              </w:tabs>
              <w:spacing w:before="40" w:after="40" w:line="360" w:lineRule="auto"/>
              <w:jc w:val="both"/>
              <w:rPr>
                <w:rFonts w:ascii="Times New Roman" w:hAnsi="Times New Roman" w:cs="Times New Roman"/>
                <w:sz w:val="24"/>
                <w:szCs w:val="24"/>
              </w:rPr>
            </w:pPr>
          </w:p>
        </w:tc>
        <w:tc>
          <w:tcPr>
            <w:tcW w:w="1487" w:type="dxa"/>
          </w:tcPr>
          <w:p w14:paraId="28205569" w14:textId="77777777" w:rsidR="00EC4655" w:rsidRPr="0028689B" w:rsidRDefault="00EC4655" w:rsidP="00E77F98">
            <w:pPr>
              <w:tabs>
                <w:tab w:val="left" w:pos="284"/>
              </w:tabs>
              <w:spacing w:before="40" w:after="40" w:line="360" w:lineRule="auto"/>
              <w:jc w:val="both"/>
              <w:rPr>
                <w:rFonts w:ascii="Times New Roman" w:hAnsi="Times New Roman" w:cs="Times New Roman"/>
                <w:noProof/>
                <w:sz w:val="24"/>
                <w:szCs w:val="24"/>
              </w:rPr>
            </w:pPr>
          </w:p>
        </w:tc>
        <w:tc>
          <w:tcPr>
            <w:tcW w:w="1487" w:type="dxa"/>
          </w:tcPr>
          <w:p w14:paraId="7B7960CD" w14:textId="77777777" w:rsidR="00EC4655" w:rsidRPr="0028689B" w:rsidRDefault="00EC4655" w:rsidP="00E77F98">
            <w:pPr>
              <w:tabs>
                <w:tab w:val="left" w:pos="284"/>
              </w:tabs>
              <w:spacing w:before="40" w:after="40" w:line="360" w:lineRule="auto"/>
              <w:jc w:val="both"/>
              <w:rPr>
                <w:rFonts w:ascii="Times New Roman" w:hAnsi="Times New Roman" w:cs="Times New Roman"/>
                <w:sz w:val="24"/>
                <w:szCs w:val="24"/>
              </w:rPr>
            </w:pPr>
          </w:p>
        </w:tc>
        <w:tc>
          <w:tcPr>
            <w:tcW w:w="1487" w:type="dxa"/>
          </w:tcPr>
          <w:p w14:paraId="7A83997F" w14:textId="77777777" w:rsidR="00EC4655" w:rsidRPr="0028689B" w:rsidRDefault="00EC4655" w:rsidP="00E77F98">
            <w:pPr>
              <w:tabs>
                <w:tab w:val="left" w:pos="284"/>
              </w:tabs>
              <w:spacing w:before="40" w:after="40" w:line="360" w:lineRule="auto"/>
              <w:jc w:val="both"/>
              <w:rPr>
                <w:rFonts w:ascii="Times New Roman" w:hAnsi="Times New Roman" w:cs="Times New Roman"/>
                <w:sz w:val="24"/>
                <w:szCs w:val="24"/>
              </w:rPr>
            </w:pPr>
          </w:p>
        </w:tc>
      </w:tr>
      <w:tr w:rsidR="00EC4655" w:rsidRPr="0028689B" w14:paraId="374CFC95" w14:textId="77777777" w:rsidTr="006176B5">
        <w:trPr>
          <w:trHeight w:val="256"/>
        </w:trPr>
        <w:tc>
          <w:tcPr>
            <w:tcW w:w="1486" w:type="dxa"/>
          </w:tcPr>
          <w:p w14:paraId="43F333B5" w14:textId="5BC488E0" w:rsidR="00EC4655" w:rsidRPr="0028689B" w:rsidRDefault="00EC4655"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lastRenderedPageBreak/>
              <w:t>Noruega</w:t>
            </w:r>
          </w:p>
        </w:tc>
        <w:tc>
          <w:tcPr>
            <w:tcW w:w="1487" w:type="dxa"/>
          </w:tcPr>
          <w:p w14:paraId="64136D7C" w14:textId="26D8B4C6" w:rsidR="00EC4655" w:rsidRPr="0028689B" w:rsidRDefault="00694FC0"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44%</w:t>
            </w:r>
          </w:p>
        </w:tc>
        <w:tc>
          <w:tcPr>
            <w:tcW w:w="1487" w:type="dxa"/>
          </w:tcPr>
          <w:p w14:paraId="585C19DE" w14:textId="77777777" w:rsidR="00EC4655" w:rsidRPr="0028689B" w:rsidRDefault="00EC4655" w:rsidP="00E77F98">
            <w:pPr>
              <w:tabs>
                <w:tab w:val="left" w:pos="284"/>
              </w:tabs>
              <w:spacing w:before="40" w:after="40" w:line="360" w:lineRule="auto"/>
              <w:jc w:val="both"/>
              <w:rPr>
                <w:rFonts w:ascii="Times New Roman" w:hAnsi="Times New Roman" w:cs="Times New Roman"/>
                <w:sz w:val="24"/>
                <w:szCs w:val="24"/>
              </w:rPr>
            </w:pPr>
          </w:p>
        </w:tc>
        <w:tc>
          <w:tcPr>
            <w:tcW w:w="1487" w:type="dxa"/>
          </w:tcPr>
          <w:p w14:paraId="60594219" w14:textId="77777777" w:rsidR="00EC4655" w:rsidRPr="0028689B" w:rsidRDefault="00EC4655" w:rsidP="00E77F98">
            <w:pPr>
              <w:tabs>
                <w:tab w:val="left" w:pos="284"/>
              </w:tabs>
              <w:spacing w:before="40" w:after="40" w:line="360" w:lineRule="auto"/>
              <w:jc w:val="both"/>
              <w:rPr>
                <w:rFonts w:ascii="Times New Roman" w:hAnsi="Times New Roman" w:cs="Times New Roman"/>
                <w:noProof/>
                <w:sz w:val="24"/>
                <w:szCs w:val="24"/>
              </w:rPr>
            </w:pPr>
          </w:p>
        </w:tc>
        <w:tc>
          <w:tcPr>
            <w:tcW w:w="1487" w:type="dxa"/>
          </w:tcPr>
          <w:p w14:paraId="5B499ADD" w14:textId="77777777" w:rsidR="00EC4655" w:rsidRPr="0028689B" w:rsidRDefault="00EC4655" w:rsidP="00E77F98">
            <w:pPr>
              <w:tabs>
                <w:tab w:val="left" w:pos="284"/>
              </w:tabs>
              <w:spacing w:before="40" w:after="40" w:line="360" w:lineRule="auto"/>
              <w:jc w:val="both"/>
              <w:rPr>
                <w:rFonts w:ascii="Times New Roman" w:hAnsi="Times New Roman" w:cs="Times New Roman"/>
                <w:sz w:val="24"/>
                <w:szCs w:val="24"/>
              </w:rPr>
            </w:pPr>
          </w:p>
        </w:tc>
        <w:tc>
          <w:tcPr>
            <w:tcW w:w="1487" w:type="dxa"/>
          </w:tcPr>
          <w:p w14:paraId="31C6EBB3" w14:textId="77777777" w:rsidR="00EC4655" w:rsidRPr="0028689B" w:rsidRDefault="00EC4655" w:rsidP="00E77F98">
            <w:pPr>
              <w:tabs>
                <w:tab w:val="left" w:pos="284"/>
              </w:tabs>
              <w:spacing w:before="40" w:after="40" w:line="360" w:lineRule="auto"/>
              <w:jc w:val="both"/>
              <w:rPr>
                <w:rFonts w:ascii="Times New Roman" w:hAnsi="Times New Roman" w:cs="Times New Roman"/>
                <w:sz w:val="24"/>
                <w:szCs w:val="24"/>
              </w:rPr>
            </w:pPr>
          </w:p>
        </w:tc>
      </w:tr>
      <w:tr w:rsidR="00EC4655" w:rsidRPr="0028689B" w14:paraId="6B0598A2" w14:textId="77777777" w:rsidTr="006176B5">
        <w:trPr>
          <w:trHeight w:val="256"/>
        </w:trPr>
        <w:tc>
          <w:tcPr>
            <w:tcW w:w="1486" w:type="dxa"/>
          </w:tcPr>
          <w:p w14:paraId="41C91AC9" w14:textId="109EFE4B" w:rsidR="00EC4655" w:rsidRPr="0028689B" w:rsidRDefault="00EC4655"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Islandia</w:t>
            </w:r>
          </w:p>
        </w:tc>
        <w:tc>
          <w:tcPr>
            <w:tcW w:w="1487" w:type="dxa"/>
          </w:tcPr>
          <w:p w14:paraId="5B1566E3" w14:textId="5392BB00" w:rsidR="00EC4655" w:rsidRPr="0028689B" w:rsidRDefault="00643E03"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44%</w:t>
            </w:r>
          </w:p>
        </w:tc>
        <w:tc>
          <w:tcPr>
            <w:tcW w:w="1487" w:type="dxa"/>
          </w:tcPr>
          <w:p w14:paraId="5F18F272" w14:textId="77777777" w:rsidR="00EC4655" w:rsidRPr="0028689B" w:rsidRDefault="00EC4655" w:rsidP="00E77F98">
            <w:pPr>
              <w:tabs>
                <w:tab w:val="left" w:pos="284"/>
              </w:tabs>
              <w:spacing w:before="40" w:after="40" w:line="360" w:lineRule="auto"/>
              <w:jc w:val="both"/>
              <w:rPr>
                <w:rFonts w:ascii="Times New Roman" w:hAnsi="Times New Roman" w:cs="Times New Roman"/>
                <w:sz w:val="24"/>
                <w:szCs w:val="24"/>
              </w:rPr>
            </w:pPr>
          </w:p>
        </w:tc>
        <w:tc>
          <w:tcPr>
            <w:tcW w:w="1487" w:type="dxa"/>
          </w:tcPr>
          <w:p w14:paraId="5B19F367" w14:textId="77777777" w:rsidR="00EC4655" w:rsidRPr="0028689B" w:rsidRDefault="00EC4655" w:rsidP="00E77F98">
            <w:pPr>
              <w:tabs>
                <w:tab w:val="left" w:pos="284"/>
              </w:tabs>
              <w:spacing w:before="40" w:after="40" w:line="360" w:lineRule="auto"/>
              <w:jc w:val="both"/>
              <w:rPr>
                <w:rFonts w:ascii="Times New Roman" w:hAnsi="Times New Roman" w:cs="Times New Roman"/>
                <w:noProof/>
                <w:sz w:val="24"/>
                <w:szCs w:val="24"/>
              </w:rPr>
            </w:pPr>
          </w:p>
        </w:tc>
        <w:tc>
          <w:tcPr>
            <w:tcW w:w="1487" w:type="dxa"/>
          </w:tcPr>
          <w:p w14:paraId="0D9B9727" w14:textId="77777777" w:rsidR="00EC4655" w:rsidRPr="0028689B" w:rsidRDefault="00EC4655" w:rsidP="00E77F98">
            <w:pPr>
              <w:tabs>
                <w:tab w:val="left" w:pos="284"/>
              </w:tabs>
              <w:spacing w:before="40" w:after="40" w:line="360" w:lineRule="auto"/>
              <w:jc w:val="both"/>
              <w:rPr>
                <w:rFonts w:ascii="Times New Roman" w:hAnsi="Times New Roman" w:cs="Times New Roman"/>
                <w:sz w:val="24"/>
                <w:szCs w:val="24"/>
              </w:rPr>
            </w:pPr>
          </w:p>
        </w:tc>
        <w:tc>
          <w:tcPr>
            <w:tcW w:w="1487" w:type="dxa"/>
          </w:tcPr>
          <w:p w14:paraId="250279C1" w14:textId="77777777" w:rsidR="00EC4655" w:rsidRPr="0028689B" w:rsidRDefault="00EC4655" w:rsidP="00E77F98">
            <w:pPr>
              <w:tabs>
                <w:tab w:val="left" w:pos="284"/>
              </w:tabs>
              <w:spacing w:before="40" w:after="40" w:line="360" w:lineRule="auto"/>
              <w:jc w:val="both"/>
              <w:rPr>
                <w:rFonts w:ascii="Times New Roman" w:hAnsi="Times New Roman" w:cs="Times New Roman"/>
                <w:sz w:val="24"/>
                <w:szCs w:val="24"/>
              </w:rPr>
            </w:pPr>
          </w:p>
        </w:tc>
      </w:tr>
    </w:tbl>
    <w:p w14:paraId="37A92FC6" w14:textId="43CD876E" w:rsidR="007A3848" w:rsidRDefault="007A3848" w:rsidP="003470F9">
      <w:pPr>
        <w:tabs>
          <w:tab w:val="left" w:pos="284"/>
        </w:tabs>
        <w:spacing w:before="40" w:after="40" w:line="360" w:lineRule="auto"/>
        <w:jc w:val="center"/>
        <w:rPr>
          <w:rFonts w:ascii="Times New Roman" w:hAnsi="Times New Roman" w:cs="Times New Roman"/>
          <w:sz w:val="24"/>
          <w:szCs w:val="24"/>
        </w:rPr>
      </w:pPr>
      <w:r w:rsidRPr="003470F9">
        <w:rPr>
          <w:rFonts w:ascii="Times New Roman" w:hAnsi="Times New Roman" w:cs="Times New Roman"/>
          <w:sz w:val="24"/>
          <w:szCs w:val="24"/>
        </w:rPr>
        <w:t>F</w:t>
      </w:r>
      <w:r w:rsidR="00FB178D" w:rsidRPr="003470F9">
        <w:rPr>
          <w:rFonts w:ascii="Times New Roman" w:hAnsi="Times New Roman" w:cs="Times New Roman"/>
          <w:sz w:val="24"/>
          <w:szCs w:val="24"/>
        </w:rPr>
        <w:t>uente: E</w:t>
      </w:r>
      <w:r w:rsidRPr="003470F9">
        <w:rPr>
          <w:rFonts w:ascii="Times New Roman" w:hAnsi="Times New Roman" w:cs="Times New Roman"/>
          <w:sz w:val="24"/>
          <w:szCs w:val="24"/>
        </w:rPr>
        <w:t xml:space="preserve">studio realizado por la </w:t>
      </w:r>
      <w:r w:rsidRPr="004D6263">
        <w:rPr>
          <w:rFonts w:ascii="Times New Roman" w:hAnsi="Times New Roman" w:cs="Times New Roman"/>
          <w:sz w:val="24"/>
          <w:szCs w:val="24"/>
        </w:rPr>
        <w:t>OCDE en el año 2016</w:t>
      </w:r>
      <w:r w:rsidR="00DB3579" w:rsidRPr="004D6263">
        <w:rPr>
          <w:rFonts w:ascii="Times New Roman" w:hAnsi="Times New Roman" w:cs="Times New Roman"/>
          <w:sz w:val="24"/>
          <w:szCs w:val="24"/>
        </w:rPr>
        <w:t xml:space="preserve"> </w:t>
      </w:r>
      <w:r w:rsidR="006A62E6" w:rsidRPr="004D6263">
        <w:rPr>
          <w:rFonts w:ascii="Times New Roman" w:hAnsi="Times New Roman" w:cs="Times New Roman"/>
          <w:sz w:val="24"/>
          <w:szCs w:val="24"/>
        </w:rPr>
        <w:t xml:space="preserve">(OECD, 2018) </w:t>
      </w:r>
    </w:p>
    <w:p w14:paraId="05BCE491" w14:textId="64AA1044" w:rsidR="00B15D29" w:rsidRPr="003E7A82" w:rsidRDefault="00514EDD"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De esta manera a</w:t>
      </w:r>
      <w:r w:rsidR="006572D7" w:rsidRPr="003E7A82">
        <w:rPr>
          <w:rFonts w:ascii="Times New Roman" w:hAnsi="Times New Roman" w:cs="Times New Roman"/>
          <w:sz w:val="24"/>
          <w:szCs w:val="24"/>
        </w:rPr>
        <w:t xml:space="preserve"> este cuarto reto, en opinión de </w:t>
      </w:r>
      <w:r w:rsidR="00CD5E3C" w:rsidRPr="003E7A82">
        <w:rPr>
          <w:rFonts w:ascii="Times New Roman" w:hAnsi="Times New Roman" w:cs="Times New Roman"/>
          <w:sz w:val="24"/>
          <w:szCs w:val="24"/>
        </w:rPr>
        <w:t xml:space="preserve">Jaime </w:t>
      </w:r>
      <w:r w:rsidR="00B15D29" w:rsidRPr="003E7A82">
        <w:rPr>
          <w:rFonts w:ascii="Times New Roman" w:hAnsi="Times New Roman" w:cs="Times New Roman"/>
          <w:sz w:val="24"/>
          <w:szCs w:val="24"/>
        </w:rPr>
        <w:t xml:space="preserve">Parada (2024), se </w:t>
      </w:r>
      <w:r w:rsidR="00DD5598" w:rsidRPr="003E7A82">
        <w:rPr>
          <w:rFonts w:ascii="Times New Roman" w:hAnsi="Times New Roman" w:cs="Times New Roman"/>
          <w:sz w:val="24"/>
          <w:szCs w:val="24"/>
        </w:rPr>
        <w:t xml:space="preserve">le </w:t>
      </w:r>
      <w:r w:rsidR="00B15D29" w:rsidRPr="003E7A82">
        <w:rPr>
          <w:rFonts w:ascii="Times New Roman" w:hAnsi="Times New Roman" w:cs="Times New Roman"/>
          <w:sz w:val="24"/>
          <w:szCs w:val="24"/>
        </w:rPr>
        <w:t xml:space="preserve">pueden añadir lo </w:t>
      </w:r>
      <w:r w:rsidR="00DD5598" w:rsidRPr="003E7A82">
        <w:rPr>
          <w:rFonts w:ascii="Times New Roman" w:hAnsi="Times New Roman" w:cs="Times New Roman"/>
          <w:sz w:val="24"/>
          <w:szCs w:val="24"/>
        </w:rPr>
        <w:t>los siguiente</w:t>
      </w:r>
      <w:r w:rsidR="008A22AC" w:rsidRPr="003E7A82">
        <w:rPr>
          <w:rFonts w:ascii="Times New Roman" w:hAnsi="Times New Roman" w:cs="Times New Roman"/>
          <w:sz w:val="24"/>
          <w:szCs w:val="24"/>
        </w:rPr>
        <w:t>s</w:t>
      </w:r>
      <w:r w:rsidR="00DD5598" w:rsidRPr="003E7A82">
        <w:rPr>
          <w:rFonts w:ascii="Times New Roman" w:hAnsi="Times New Roman" w:cs="Times New Roman"/>
          <w:sz w:val="24"/>
          <w:szCs w:val="24"/>
        </w:rPr>
        <w:t xml:space="preserve"> </w:t>
      </w:r>
      <w:r w:rsidR="00551E8E" w:rsidRPr="003E7A82">
        <w:rPr>
          <w:rFonts w:ascii="Times New Roman" w:hAnsi="Times New Roman" w:cs="Times New Roman"/>
          <w:sz w:val="24"/>
          <w:szCs w:val="24"/>
        </w:rPr>
        <w:t>tres</w:t>
      </w:r>
      <w:r w:rsidR="00B15D29" w:rsidRPr="003E7A82">
        <w:rPr>
          <w:rFonts w:ascii="Times New Roman" w:hAnsi="Times New Roman" w:cs="Times New Roman"/>
          <w:sz w:val="24"/>
          <w:szCs w:val="24"/>
        </w:rPr>
        <w:t xml:space="preserve"> desafíos: </w:t>
      </w:r>
      <w:r w:rsidR="00DD5598" w:rsidRPr="003E7A82">
        <w:rPr>
          <w:rFonts w:ascii="Times New Roman" w:hAnsi="Times New Roman" w:cs="Times New Roman"/>
          <w:sz w:val="24"/>
          <w:szCs w:val="24"/>
        </w:rPr>
        <w:t>e</w:t>
      </w:r>
      <w:r w:rsidR="00B15D29" w:rsidRPr="003E7A82">
        <w:rPr>
          <w:rFonts w:ascii="Times New Roman" w:hAnsi="Times New Roman" w:cs="Times New Roman"/>
          <w:sz w:val="24"/>
          <w:szCs w:val="24"/>
        </w:rPr>
        <w:t>l bono demográfico, la cobertura y calidad de la educación</w:t>
      </w:r>
      <w:r w:rsidR="007F1ABF" w:rsidRPr="003E7A82">
        <w:rPr>
          <w:rFonts w:ascii="Times New Roman" w:hAnsi="Times New Roman" w:cs="Times New Roman"/>
          <w:sz w:val="24"/>
          <w:szCs w:val="24"/>
        </w:rPr>
        <w:t>;</w:t>
      </w:r>
      <w:r w:rsidR="00B15D29" w:rsidRPr="003E7A82">
        <w:rPr>
          <w:rFonts w:ascii="Times New Roman" w:hAnsi="Times New Roman" w:cs="Times New Roman"/>
          <w:sz w:val="24"/>
          <w:szCs w:val="24"/>
        </w:rPr>
        <w:t xml:space="preserve"> </w:t>
      </w:r>
      <w:r w:rsidR="007F1ABF" w:rsidRPr="003E7A82">
        <w:rPr>
          <w:rFonts w:ascii="Times New Roman" w:hAnsi="Times New Roman" w:cs="Times New Roman"/>
          <w:sz w:val="24"/>
          <w:szCs w:val="24"/>
        </w:rPr>
        <w:t>el a</w:t>
      </w:r>
      <w:r w:rsidR="00B15D29" w:rsidRPr="003E7A82">
        <w:rPr>
          <w:rFonts w:ascii="Times New Roman" w:hAnsi="Times New Roman" w:cs="Times New Roman"/>
          <w:sz w:val="24"/>
          <w:szCs w:val="24"/>
        </w:rPr>
        <w:t>provecha</w:t>
      </w:r>
      <w:r w:rsidR="007F1ABF" w:rsidRPr="003E7A82">
        <w:rPr>
          <w:rFonts w:ascii="Times New Roman" w:hAnsi="Times New Roman" w:cs="Times New Roman"/>
          <w:sz w:val="24"/>
          <w:szCs w:val="24"/>
        </w:rPr>
        <w:t>miento de</w:t>
      </w:r>
      <w:r w:rsidR="00B15D29" w:rsidRPr="003E7A82">
        <w:rPr>
          <w:rFonts w:ascii="Times New Roman" w:hAnsi="Times New Roman" w:cs="Times New Roman"/>
          <w:sz w:val="24"/>
          <w:szCs w:val="24"/>
        </w:rPr>
        <w:t xml:space="preserve">l TMEC </w:t>
      </w:r>
      <w:r w:rsidR="001D1BCD" w:rsidRPr="003E7A82">
        <w:rPr>
          <w:rFonts w:ascii="Times New Roman" w:hAnsi="Times New Roman" w:cs="Times New Roman"/>
          <w:sz w:val="24"/>
          <w:szCs w:val="24"/>
        </w:rPr>
        <w:t xml:space="preserve">en combinación con </w:t>
      </w:r>
      <w:r w:rsidR="00B15D29" w:rsidRPr="003E7A82">
        <w:rPr>
          <w:rFonts w:ascii="Times New Roman" w:hAnsi="Times New Roman" w:cs="Times New Roman"/>
          <w:sz w:val="24"/>
          <w:szCs w:val="24"/>
        </w:rPr>
        <w:t xml:space="preserve">el </w:t>
      </w:r>
      <w:proofErr w:type="spellStart"/>
      <w:r w:rsidR="000A1D18" w:rsidRPr="003E7A82">
        <w:rPr>
          <w:rFonts w:ascii="Times New Roman" w:hAnsi="Times New Roman" w:cs="Times New Roman"/>
          <w:i/>
          <w:iCs/>
          <w:sz w:val="24"/>
          <w:szCs w:val="24"/>
        </w:rPr>
        <w:t>n</w:t>
      </w:r>
      <w:r w:rsidR="00B15D29" w:rsidRPr="003E7A82">
        <w:rPr>
          <w:rFonts w:ascii="Times New Roman" w:hAnsi="Times New Roman" w:cs="Times New Roman"/>
          <w:i/>
          <w:iCs/>
          <w:sz w:val="24"/>
          <w:szCs w:val="24"/>
        </w:rPr>
        <w:t>earshoring</w:t>
      </w:r>
      <w:proofErr w:type="spellEnd"/>
      <w:r w:rsidR="001D1BCD" w:rsidRPr="003E7A82">
        <w:rPr>
          <w:rFonts w:ascii="Times New Roman" w:hAnsi="Times New Roman" w:cs="Times New Roman"/>
          <w:sz w:val="24"/>
          <w:szCs w:val="24"/>
        </w:rPr>
        <w:t xml:space="preserve"> (ya citado previamente); y el i</w:t>
      </w:r>
      <w:r w:rsidR="00B15D29" w:rsidRPr="003E7A82">
        <w:rPr>
          <w:rFonts w:ascii="Times New Roman" w:hAnsi="Times New Roman" w:cs="Times New Roman"/>
          <w:sz w:val="24"/>
          <w:szCs w:val="24"/>
        </w:rPr>
        <w:t>ngres</w:t>
      </w:r>
      <w:r w:rsidR="001D1BCD" w:rsidRPr="003E7A82">
        <w:rPr>
          <w:rFonts w:ascii="Times New Roman" w:hAnsi="Times New Roman" w:cs="Times New Roman"/>
          <w:sz w:val="24"/>
          <w:szCs w:val="24"/>
        </w:rPr>
        <w:t>o</w:t>
      </w:r>
      <w:r w:rsidR="00B15D29" w:rsidRPr="003E7A82">
        <w:rPr>
          <w:rFonts w:ascii="Times New Roman" w:hAnsi="Times New Roman" w:cs="Times New Roman"/>
          <w:sz w:val="24"/>
          <w:szCs w:val="24"/>
        </w:rPr>
        <w:t xml:space="preserve"> </w:t>
      </w:r>
      <w:r w:rsidR="001D1BCD" w:rsidRPr="003E7A82">
        <w:rPr>
          <w:rFonts w:ascii="Times New Roman" w:hAnsi="Times New Roman" w:cs="Times New Roman"/>
          <w:sz w:val="24"/>
          <w:szCs w:val="24"/>
        </w:rPr>
        <w:t>a una</w:t>
      </w:r>
      <w:r w:rsidR="00B15D29" w:rsidRPr="003E7A82">
        <w:rPr>
          <w:rFonts w:ascii="Times New Roman" w:hAnsi="Times New Roman" w:cs="Times New Roman"/>
          <w:sz w:val="24"/>
          <w:szCs w:val="24"/>
        </w:rPr>
        <w:t xml:space="preserve"> economía </w:t>
      </w:r>
      <w:r w:rsidR="009A364E" w:rsidRPr="003E7A82">
        <w:rPr>
          <w:rFonts w:ascii="Times New Roman" w:hAnsi="Times New Roman" w:cs="Times New Roman"/>
          <w:sz w:val="24"/>
          <w:szCs w:val="24"/>
        </w:rPr>
        <w:t>que,</w:t>
      </w:r>
      <w:r w:rsidR="00654905" w:rsidRPr="003E7A82">
        <w:rPr>
          <w:rFonts w:ascii="Times New Roman" w:hAnsi="Times New Roman" w:cs="Times New Roman"/>
          <w:sz w:val="24"/>
          <w:szCs w:val="24"/>
        </w:rPr>
        <w:t xml:space="preserve"> </w:t>
      </w:r>
      <w:r w:rsidR="00B15D29" w:rsidRPr="003E7A82">
        <w:rPr>
          <w:rFonts w:ascii="Times New Roman" w:hAnsi="Times New Roman" w:cs="Times New Roman"/>
          <w:sz w:val="24"/>
          <w:szCs w:val="24"/>
        </w:rPr>
        <w:t xml:space="preserve">para aumentar la productividad, el valor agregado y </w:t>
      </w:r>
      <w:r w:rsidR="00654905" w:rsidRPr="003E7A82">
        <w:rPr>
          <w:rFonts w:ascii="Times New Roman" w:hAnsi="Times New Roman" w:cs="Times New Roman"/>
          <w:sz w:val="24"/>
          <w:szCs w:val="24"/>
        </w:rPr>
        <w:t xml:space="preserve">la </w:t>
      </w:r>
      <w:r w:rsidR="00B15D29" w:rsidRPr="003E7A82">
        <w:rPr>
          <w:rFonts w:ascii="Times New Roman" w:hAnsi="Times New Roman" w:cs="Times New Roman"/>
          <w:sz w:val="24"/>
          <w:szCs w:val="24"/>
        </w:rPr>
        <w:t>crea</w:t>
      </w:r>
      <w:r w:rsidR="00654905" w:rsidRPr="003E7A82">
        <w:rPr>
          <w:rFonts w:ascii="Times New Roman" w:hAnsi="Times New Roman" w:cs="Times New Roman"/>
          <w:sz w:val="24"/>
          <w:szCs w:val="24"/>
        </w:rPr>
        <w:t>ción</w:t>
      </w:r>
      <w:r w:rsidR="00B15D29" w:rsidRPr="003E7A82">
        <w:rPr>
          <w:rFonts w:ascii="Times New Roman" w:hAnsi="Times New Roman" w:cs="Times New Roman"/>
          <w:sz w:val="24"/>
          <w:szCs w:val="24"/>
        </w:rPr>
        <w:t xml:space="preserve"> </w:t>
      </w:r>
      <w:r w:rsidR="00654905" w:rsidRPr="003E7A82">
        <w:rPr>
          <w:rFonts w:ascii="Times New Roman" w:hAnsi="Times New Roman" w:cs="Times New Roman"/>
          <w:sz w:val="24"/>
          <w:szCs w:val="24"/>
        </w:rPr>
        <w:t xml:space="preserve">de </w:t>
      </w:r>
      <w:r w:rsidR="00B15D29" w:rsidRPr="003E7A82">
        <w:rPr>
          <w:rFonts w:ascii="Times New Roman" w:hAnsi="Times New Roman" w:cs="Times New Roman"/>
          <w:sz w:val="24"/>
          <w:szCs w:val="24"/>
        </w:rPr>
        <w:t>empleos de calidad</w:t>
      </w:r>
      <w:r w:rsidR="00654905" w:rsidRPr="003E7A82">
        <w:rPr>
          <w:rFonts w:ascii="Times New Roman" w:hAnsi="Times New Roman" w:cs="Times New Roman"/>
          <w:sz w:val="24"/>
          <w:szCs w:val="24"/>
        </w:rPr>
        <w:t xml:space="preserve">, </w:t>
      </w:r>
      <w:r w:rsidR="00C9604F" w:rsidRPr="003E7A82">
        <w:rPr>
          <w:rFonts w:ascii="Times New Roman" w:hAnsi="Times New Roman" w:cs="Times New Roman"/>
          <w:sz w:val="24"/>
          <w:szCs w:val="24"/>
        </w:rPr>
        <w:t xml:space="preserve">debe estar </w:t>
      </w:r>
      <w:r w:rsidR="00654905" w:rsidRPr="003E7A82">
        <w:rPr>
          <w:rFonts w:ascii="Times New Roman" w:hAnsi="Times New Roman" w:cs="Times New Roman"/>
          <w:sz w:val="24"/>
          <w:szCs w:val="24"/>
        </w:rPr>
        <w:t>basada en el conocimiento</w:t>
      </w:r>
      <w:r w:rsidR="009A364E" w:rsidRPr="003E7A82">
        <w:rPr>
          <w:rFonts w:ascii="Times New Roman" w:hAnsi="Times New Roman" w:cs="Times New Roman"/>
          <w:sz w:val="24"/>
          <w:szCs w:val="24"/>
        </w:rPr>
        <w:t xml:space="preserve"> (Parada, 2024)</w:t>
      </w:r>
      <w:r w:rsidR="00B15D29" w:rsidRPr="003E7A82">
        <w:rPr>
          <w:rFonts w:ascii="Times New Roman" w:hAnsi="Times New Roman" w:cs="Times New Roman"/>
          <w:sz w:val="24"/>
          <w:szCs w:val="24"/>
        </w:rPr>
        <w:t>.</w:t>
      </w:r>
    </w:p>
    <w:p w14:paraId="0FDA43D4" w14:textId="4F66BDCD" w:rsidR="00564BCF" w:rsidRPr="003E7A82" w:rsidRDefault="009A364E"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Aq</w:t>
      </w:r>
      <w:r w:rsidR="00C9604F" w:rsidRPr="003E7A82">
        <w:rPr>
          <w:rFonts w:ascii="Times New Roman" w:hAnsi="Times New Roman" w:cs="Times New Roman"/>
          <w:sz w:val="24"/>
          <w:szCs w:val="24"/>
        </w:rPr>
        <w:t>uí se considera a la internacionalización de</w:t>
      </w:r>
      <w:r w:rsidR="00090EFA" w:rsidRPr="003E7A82">
        <w:rPr>
          <w:rFonts w:ascii="Times New Roman" w:hAnsi="Times New Roman" w:cs="Times New Roman"/>
          <w:sz w:val="24"/>
          <w:szCs w:val="24"/>
        </w:rPr>
        <w:t>l currículo de</w:t>
      </w:r>
      <w:r w:rsidR="00C9604F" w:rsidRPr="003E7A82">
        <w:rPr>
          <w:rFonts w:ascii="Times New Roman" w:hAnsi="Times New Roman" w:cs="Times New Roman"/>
          <w:sz w:val="24"/>
          <w:szCs w:val="24"/>
        </w:rPr>
        <w:t xml:space="preserve"> la educación </w:t>
      </w:r>
      <w:r w:rsidR="00090EFA" w:rsidRPr="003E7A82">
        <w:rPr>
          <w:rFonts w:ascii="Times New Roman" w:hAnsi="Times New Roman" w:cs="Times New Roman"/>
          <w:sz w:val="24"/>
          <w:szCs w:val="24"/>
        </w:rPr>
        <w:t xml:space="preserve">superior </w:t>
      </w:r>
      <w:r w:rsidR="00C9604F" w:rsidRPr="003E7A82">
        <w:rPr>
          <w:rFonts w:ascii="Times New Roman" w:hAnsi="Times New Roman" w:cs="Times New Roman"/>
          <w:sz w:val="24"/>
          <w:szCs w:val="24"/>
        </w:rPr>
        <w:t>en dos sentidos</w:t>
      </w:r>
      <w:r w:rsidR="00090EFA" w:rsidRPr="003E7A82">
        <w:rPr>
          <w:rFonts w:ascii="Times New Roman" w:hAnsi="Times New Roman" w:cs="Times New Roman"/>
          <w:sz w:val="24"/>
          <w:szCs w:val="24"/>
        </w:rPr>
        <w:t>: el primero en lo que se refiere</w:t>
      </w:r>
      <w:r w:rsidR="005A494C" w:rsidRPr="003E7A82">
        <w:rPr>
          <w:rFonts w:ascii="Times New Roman" w:hAnsi="Times New Roman" w:cs="Times New Roman"/>
          <w:sz w:val="24"/>
          <w:szCs w:val="24"/>
        </w:rPr>
        <w:t xml:space="preserve"> a</w:t>
      </w:r>
      <w:r w:rsidR="00926B06" w:rsidRPr="003E7A82">
        <w:rPr>
          <w:rFonts w:ascii="Times New Roman" w:hAnsi="Times New Roman" w:cs="Times New Roman"/>
          <w:sz w:val="24"/>
          <w:szCs w:val="24"/>
        </w:rPr>
        <w:t xml:space="preserve"> que aspectos</w:t>
      </w:r>
      <w:r w:rsidR="00DB3579" w:rsidRPr="003E7A82">
        <w:rPr>
          <w:rFonts w:ascii="Times New Roman" w:hAnsi="Times New Roman" w:cs="Times New Roman"/>
          <w:sz w:val="24"/>
          <w:szCs w:val="24"/>
        </w:rPr>
        <w:t xml:space="preserve"> </w:t>
      </w:r>
      <w:r w:rsidR="00DB3579" w:rsidRPr="004D6263">
        <w:rPr>
          <w:rFonts w:ascii="Times New Roman" w:hAnsi="Times New Roman" w:cs="Times New Roman"/>
          <w:sz w:val="24"/>
          <w:szCs w:val="24"/>
        </w:rPr>
        <w:t>a</w:t>
      </w:r>
      <w:r w:rsidR="00926B06" w:rsidRPr="003E7A82">
        <w:rPr>
          <w:rFonts w:ascii="Times New Roman" w:hAnsi="Times New Roman" w:cs="Times New Roman"/>
          <w:sz w:val="24"/>
          <w:szCs w:val="24"/>
        </w:rPr>
        <w:t xml:space="preserve"> medir para el aprovechamiento de los recursos del país como lo son </w:t>
      </w:r>
      <w:r w:rsidR="00CC1C04" w:rsidRPr="003E7A82">
        <w:rPr>
          <w:rFonts w:ascii="Times New Roman" w:hAnsi="Times New Roman" w:cs="Times New Roman"/>
          <w:sz w:val="24"/>
          <w:szCs w:val="24"/>
        </w:rPr>
        <w:t xml:space="preserve">el </w:t>
      </w:r>
      <w:proofErr w:type="spellStart"/>
      <w:r w:rsidR="00E33D77" w:rsidRPr="003E7A82">
        <w:rPr>
          <w:rFonts w:ascii="Times New Roman" w:hAnsi="Times New Roman" w:cs="Times New Roman"/>
          <w:i/>
          <w:iCs/>
          <w:sz w:val="24"/>
          <w:szCs w:val="24"/>
        </w:rPr>
        <w:t>n</w:t>
      </w:r>
      <w:r w:rsidR="00CC1C04" w:rsidRPr="003E7A82">
        <w:rPr>
          <w:rFonts w:ascii="Times New Roman" w:hAnsi="Times New Roman" w:cs="Times New Roman"/>
          <w:i/>
          <w:iCs/>
          <w:sz w:val="24"/>
          <w:szCs w:val="24"/>
        </w:rPr>
        <w:t>earshoring</w:t>
      </w:r>
      <w:proofErr w:type="spellEnd"/>
      <w:r w:rsidR="00CC1C04" w:rsidRPr="003E7A82">
        <w:rPr>
          <w:rFonts w:ascii="Times New Roman" w:hAnsi="Times New Roman" w:cs="Times New Roman"/>
          <w:sz w:val="24"/>
          <w:szCs w:val="24"/>
        </w:rPr>
        <w:t xml:space="preserve"> y el bono demográfico; y el segundo en lo que se refiere a </w:t>
      </w:r>
      <w:proofErr w:type="spellStart"/>
      <w:r w:rsidR="00CC1C04" w:rsidRPr="003E7A82">
        <w:rPr>
          <w:rFonts w:ascii="Times New Roman" w:hAnsi="Times New Roman" w:cs="Times New Roman"/>
          <w:sz w:val="24"/>
          <w:szCs w:val="24"/>
        </w:rPr>
        <w:t>como</w:t>
      </w:r>
      <w:proofErr w:type="spellEnd"/>
      <w:r w:rsidR="00CC1C04" w:rsidRPr="003E7A82">
        <w:rPr>
          <w:rFonts w:ascii="Times New Roman" w:hAnsi="Times New Roman" w:cs="Times New Roman"/>
          <w:sz w:val="24"/>
          <w:szCs w:val="24"/>
        </w:rPr>
        <w:t xml:space="preserve"> enfrentar estas </w:t>
      </w:r>
      <w:r w:rsidR="004E34E7" w:rsidRPr="003E7A82">
        <w:rPr>
          <w:rFonts w:ascii="Times New Roman" w:hAnsi="Times New Roman" w:cs="Times New Roman"/>
          <w:sz w:val="24"/>
          <w:szCs w:val="24"/>
        </w:rPr>
        <w:t xml:space="preserve">oportunidades. </w:t>
      </w:r>
      <w:r w:rsidR="008D1D9C" w:rsidRPr="003E7A82">
        <w:rPr>
          <w:rFonts w:ascii="Times New Roman" w:hAnsi="Times New Roman" w:cs="Times New Roman"/>
          <w:sz w:val="24"/>
          <w:szCs w:val="24"/>
        </w:rPr>
        <w:t xml:space="preserve">Una vez más los países escandinavos y los llamados desarrollados, </w:t>
      </w:r>
      <w:r w:rsidR="00947774" w:rsidRPr="003E7A82">
        <w:rPr>
          <w:rFonts w:ascii="Times New Roman" w:hAnsi="Times New Roman" w:cs="Times New Roman"/>
          <w:sz w:val="24"/>
          <w:szCs w:val="24"/>
        </w:rPr>
        <w:t xml:space="preserve">han sido muy creativos en los modelos </w:t>
      </w:r>
      <w:r w:rsidR="00CD0198" w:rsidRPr="003E7A82">
        <w:rPr>
          <w:rFonts w:ascii="Times New Roman" w:hAnsi="Times New Roman" w:cs="Times New Roman"/>
          <w:sz w:val="24"/>
          <w:szCs w:val="24"/>
        </w:rPr>
        <w:t>educa</w:t>
      </w:r>
      <w:r w:rsidR="004771B2" w:rsidRPr="003E7A82">
        <w:rPr>
          <w:rFonts w:ascii="Times New Roman" w:hAnsi="Times New Roman" w:cs="Times New Roman"/>
          <w:sz w:val="24"/>
          <w:szCs w:val="24"/>
        </w:rPr>
        <w:t>tivos que pueden ser</w:t>
      </w:r>
      <w:r w:rsidR="00F57912" w:rsidRPr="003E7A82">
        <w:rPr>
          <w:rFonts w:ascii="Times New Roman" w:hAnsi="Times New Roman" w:cs="Times New Roman"/>
          <w:sz w:val="24"/>
          <w:szCs w:val="24"/>
        </w:rPr>
        <w:t xml:space="preserve"> considerados para el momento de cambio que está enfrentando el país</w:t>
      </w:r>
      <w:r w:rsidR="00595EEA" w:rsidRPr="003E7A82">
        <w:rPr>
          <w:rFonts w:ascii="Times New Roman" w:hAnsi="Times New Roman" w:cs="Times New Roman"/>
          <w:sz w:val="24"/>
          <w:szCs w:val="24"/>
        </w:rPr>
        <w:t xml:space="preserve">; </w:t>
      </w:r>
      <w:r w:rsidR="00F863C2" w:rsidRPr="003E7A82">
        <w:rPr>
          <w:rFonts w:ascii="Times New Roman" w:hAnsi="Times New Roman" w:cs="Times New Roman"/>
          <w:sz w:val="24"/>
          <w:szCs w:val="24"/>
        </w:rPr>
        <w:t xml:space="preserve">Jaime Parada </w:t>
      </w:r>
      <w:r w:rsidR="00595EEA" w:rsidRPr="003E7A82">
        <w:rPr>
          <w:rFonts w:ascii="Times New Roman" w:hAnsi="Times New Roman" w:cs="Times New Roman"/>
          <w:sz w:val="24"/>
          <w:szCs w:val="24"/>
        </w:rPr>
        <w:t>e</w:t>
      </w:r>
      <w:r w:rsidR="00945ADD" w:rsidRPr="003E7A82">
        <w:rPr>
          <w:rFonts w:ascii="Times New Roman" w:hAnsi="Times New Roman" w:cs="Times New Roman"/>
          <w:sz w:val="24"/>
          <w:szCs w:val="24"/>
        </w:rPr>
        <w:t>l</w:t>
      </w:r>
      <w:r w:rsidR="00A07429" w:rsidRPr="003E7A82">
        <w:rPr>
          <w:rFonts w:ascii="Times New Roman" w:hAnsi="Times New Roman" w:cs="Times New Roman"/>
          <w:sz w:val="24"/>
          <w:szCs w:val="24"/>
        </w:rPr>
        <w:t xml:space="preserve"> </w:t>
      </w:r>
      <w:r w:rsidR="00595EEA" w:rsidRPr="003E7A82">
        <w:rPr>
          <w:rFonts w:ascii="Times New Roman" w:hAnsi="Times New Roman" w:cs="Times New Roman"/>
          <w:sz w:val="24"/>
          <w:szCs w:val="24"/>
        </w:rPr>
        <w:t xml:space="preserve">previamente director de </w:t>
      </w:r>
      <w:proofErr w:type="spellStart"/>
      <w:r w:rsidR="00595EEA" w:rsidRPr="003E7A82">
        <w:rPr>
          <w:rFonts w:ascii="Times New Roman" w:hAnsi="Times New Roman" w:cs="Times New Roman"/>
          <w:sz w:val="24"/>
          <w:szCs w:val="24"/>
        </w:rPr>
        <w:t>Conacyt</w:t>
      </w:r>
      <w:proofErr w:type="spellEnd"/>
      <w:r w:rsidR="00595EEA" w:rsidRPr="003E7A82">
        <w:rPr>
          <w:rFonts w:ascii="Times New Roman" w:hAnsi="Times New Roman" w:cs="Times New Roman"/>
          <w:sz w:val="24"/>
          <w:szCs w:val="24"/>
        </w:rPr>
        <w:t xml:space="preserve">, </w:t>
      </w:r>
      <w:r w:rsidR="00BF65A3" w:rsidRPr="003E7A82">
        <w:rPr>
          <w:rFonts w:ascii="Times New Roman" w:hAnsi="Times New Roman" w:cs="Times New Roman"/>
          <w:sz w:val="24"/>
          <w:szCs w:val="24"/>
        </w:rPr>
        <w:t xml:space="preserve">y actualmente </w:t>
      </w:r>
      <w:r w:rsidR="00595EEA" w:rsidRPr="003E7A82">
        <w:rPr>
          <w:rFonts w:ascii="Times New Roman" w:hAnsi="Times New Roman" w:cs="Times New Roman"/>
          <w:sz w:val="24"/>
          <w:szCs w:val="24"/>
        </w:rPr>
        <w:t xml:space="preserve">consejero y consultor en innovación </w:t>
      </w:r>
      <w:r w:rsidR="00A07429" w:rsidRPr="003E7A82">
        <w:rPr>
          <w:rFonts w:ascii="Times New Roman" w:hAnsi="Times New Roman" w:cs="Times New Roman"/>
          <w:sz w:val="24"/>
          <w:szCs w:val="24"/>
        </w:rPr>
        <w:t>concluye que p</w:t>
      </w:r>
      <w:r w:rsidR="00B15D29" w:rsidRPr="003E7A82">
        <w:rPr>
          <w:rFonts w:ascii="Times New Roman" w:hAnsi="Times New Roman" w:cs="Times New Roman"/>
          <w:sz w:val="24"/>
          <w:szCs w:val="24"/>
        </w:rPr>
        <w:t xml:space="preserve">ara </w:t>
      </w:r>
      <w:r w:rsidR="00A07429" w:rsidRPr="003E7A82">
        <w:rPr>
          <w:rFonts w:ascii="Times New Roman" w:hAnsi="Times New Roman" w:cs="Times New Roman"/>
          <w:sz w:val="24"/>
          <w:szCs w:val="24"/>
        </w:rPr>
        <w:t>aprovechar</w:t>
      </w:r>
      <w:r w:rsidR="00B15D29" w:rsidRPr="003E7A82">
        <w:rPr>
          <w:rFonts w:ascii="Times New Roman" w:hAnsi="Times New Roman" w:cs="Times New Roman"/>
          <w:sz w:val="24"/>
          <w:szCs w:val="24"/>
        </w:rPr>
        <w:t xml:space="preserve"> plenamente el TMEC</w:t>
      </w:r>
      <w:r w:rsidR="0015492F" w:rsidRPr="003E7A82">
        <w:rPr>
          <w:rFonts w:ascii="Times New Roman" w:hAnsi="Times New Roman" w:cs="Times New Roman"/>
          <w:sz w:val="24"/>
          <w:szCs w:val="24"/>
        </w:rPr>
        <w:t>, señala</w:t>
      </w:r>
      <w:r w:rsidR="00B15D29" w:rsidRPr="003E7A82">
        <w:rPr>
          <w:rFonts w:ascii="Times New Roman" w:hAnsi="Times New Roman" w:cs="Times New Roman"/>
          <w:sz w:val="24"/>
          <w:szCs w:val="24"/>
        </w:rPr>
        <w:t xml:space="preserve"> </w:t>
      </w:r>
      <w:r w:rsidR="00125B8B" w:rsidRPr="003E7A82">
        <w:rPr>
          <w:rFonts w:ascii="Times New Roman" w:hAnsi="Times New Roman" w:cs="Times New Roman"/>
          <w:sz w:val="24"/>
          <w:szCs w:val="24"/>
        </w:rPr>
        <w:t>“</w:t>
      </w:r>
      <w:r w:rsidR="00B15D29" w:rsidRPr="003E7A82">
        <w:rPr>
          <w:rFonts w:ascii="Times New Roman" w:hAnsi="Times New Roman" w:cs="Times New Roman"/>
          <w:sz w:val="24"/>
          <w:szCs w:val="24"/>
        </w:rPr>
        <w:t>México debe contar con la infraestructura y con abundante personal con las competencias necesarias para producir bienes y servicios de alto valor agregado</w:t>
      </w:r>
      <w:r w:rsidR="00125B8B" w:rsidRPr="003E7A82">
        <w:rPr>
          <w:rFonts w:ascii="Times New Roman" w:hAnsi="Times New Roman" w:cs="Times New Roman"/>
          <w:sz w:val="24"/>
          <w:szCs w:val="24"/>
        </w:rPr>
        <w:t>”</w:t>
      </w:r>
      <w:r w:rsidR="00F863C2" w:rsidRPr="003E7A82">
        <w:rPr>
          <w:rFonts w:ascii="Times New Roman" w:hAnsi="Times New Roman" w:cs="Times New Roman"/>
          <w:color w:val="FF0000"/>
          <w:sz w:val="24"/>
          <w:szCs w:val="24"/>
        </w:rPr>
        <w:t xml:space="preserve"> </w:t>
      </w:r>
      <w:r w:rsidR="00F863C2" w:rsidRPr="003E7A82">
        <w:rPr>
          <w:rFonts w:ascii="Times New Roman" w:hAnsi="Times New Roman" w:cs="Times New Roman"/>
          <w:sz w:val="24"/>
          <w:szCs w:val="24"/>
        </w:rPr>
        <w:t>(Parada, 2024)</w:t>
      </w:r>
      <w:r w:rsidR="00B15D29" w:rsidRPr="003E7A82">
        <w:rPr>
          <w:rFonts w:ascii="Times New Roman" w:hAnsi="Times New Roman" w:cs="Times New Roman"/>
          <w:sz w:val="24"/>
          <w:szCs w:val="24"/>
        </w:rPr>
        <w:t>.</w:t>
      </w:r>
    </w:p>
    <w:p w14:paraId="57222CBE" w14:textId="07A718EA" w:rsidR="007864B9" w:rsidRPr="003E7A82" w:rsidRDefault="002225E9"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Finalmente,</w:t>
      </w:r>
      <w:r w:rsidR="007864B9" w:rsidRPr="003E7A82">
        <w:rPr>
          <w:rFonts w:ascii="Times New Roman" w:hAnsi="Times New Roman" w:cs="Times New Roman"/>
          <w:sz w:val="24"/>
          <w:szCs w:val="24"/>
        </w:rPr>
        <w:t xml:space="preserve"> </w:t>
      </w:r>
      <w:r w:rsidR="009772CB" w:rsidRPr="003E7A82">
        <w:rPr>
          <w:rFonts w:ascii="Times New Roman" w:hAnsi="Times New Roman" w:cs="Times New Roman"/>
          <w:sz w:val="24"/>
          <w:szCs w:val="24"/>
        </w:rPr>
        <w:t xml:space="preserve">el quinto </w:t>
      </w:r>
      <w:r w:rsidR="00676949" w:rsidRPr="003E7A82">
        <w:rPr>
          <w:rFonts w:ascii="Times New Roman" w:hAnsi="Times New Roman" w:cs="Times New Roman"/>
          <w:sz w:val="24"/>
          <w:szCs w:val="24"/>
        </w:rPr>
        <w:t xml:space="preserve">eje de la </w:t>
      </w:r>
      <w:r w:rsidRPr="003E7A82">
        <w:rPr>
          <w:rFonts w:ascii="Times New Roman" w:hAnsi="Times New Roman" w:cs="Times New Roman"/>
          <w:sz w:val="24"/>
          <w:szCs w:val="24"/>
        </w:rPr>
        <w:t>estrategia</w:t>
      </w:r>
      <w:r w:rsidR="00876EC6" w:rsidRPr="003E7A82">
        <w:rPr>
          <w:rFonts w:ascii="Times New Roman" w:hAnsi="Times New Roman" w:cs="Times New Roman"/>
          <w:sz w:val="24"/>
          <w:szCs w:val="24"/>
        </w:rPr>
        <w:t xml:space="preserve"> se relaciona con el segundo aspecto señalado para el aprovechamiento de la internacionalización, y se refiere al tránsito hacia modelos educativos flexibles y el aprovechamiento de sistemas educativos en línea. </w:t>
      </w:r>
      <w:r w:rsidRPr="003E7A82">
        <w:rPr>
          <w:rFonts w:ascii="Times New Roman" w:hAnsi="Times New Roman" w:cs="Times New Roman"/>
          <w:sz w:val="24"/>
          <w:szCs w:val="24"/>
        </w:rPr>
        <w:t xml:space="preserve">Como ya se citó anteriormente se tiene el modelo de Formación Profesional finlandés, </w:t>
      </w:r>
      <w:proofErr w:type="spellStart"/>
      <w:r w:rsidR="00D578B1" w:rsidRPr="003E7A82">
        <w:rPr>
          <w:rFonts w:ascii="Times New Roman" w:hAnsi="Times New Roman" w:cs="Times New Roman"/>
          <w:sz w:val="24"/>
          <w:szCs w:val="24"/>
        </w:rPr>
        <w:t>Infofinland</w:t>
      </w:r>
      <w:proofErr w:type="spellEnd"/>
      <w:r w:rsidR="00D578B1" w:rsidRPr="003E7A82">
        <w:rPr>
          <w:rFonts w:ascii="Times New Roman" w:hAnsi="Times New Roman" w:cs="Times New Roman"/>
          <w:sz w:val="24"/>
          <w:szCs w:val="24"/>
        </w:rPr>
        <w:t xml:space="preserve"> (2023) </w:t>
      </w:r>
      <w:r w:rsidR="00262867" w:rsidRPr="003E7A82">
        <w:rPr>
          <w:rFonts w:ascii="Times New Roman" w:hAnsi="Times New Roman" w:cs="Times New Roman"/>
          <w:sz w:val="24"/>
          <w:szCs w:val="24"/>
        </w:rPr>
        <w:t xml:space="preserve">descrito y </w:t>
      </w:r>
      <w:r w:rsidR="00262867" w:rsidRPr="004D6263">
        <w:rPr>
          <w:rFonts w:ascii="Times New Roman" w:hAnsi="Times New Roman" w:cs="Times New Roman"/>
          <w:sz w:val="24"/>
          <w:szCs w:val="24"/>
        </w:rPr>
        <w:t xml:space="preserve">promovido </w:t>
      </w:r>
      <w:r w:rsidR="00D578B1" w:rsidRPr="004D6263">
        <w:rPr>
          <w:rFonts w:ascii="Times New Roman" w:hAnsi="Times New Roman" w:cs="Times New Roman"/>
          <w:sz w:val="24"/>
          <w:szCs w:val="24"/>
        </w:rPr>
        <w:t xml:space="preserve">a través de </w:t>
      </w:r>
      <w:r w:rsidR="00DB3579" w:rsidRPr="004D6263">
        <w:rPr>
          <w:rFonts w:ascii="Times New Roman" w:hAnsi="Times New Roman" w:cs="Times New Roman"/>
          <w:sz w:val="24"/>
          <w:szCs w:val="24"/>
        </w:rPr>
        <w:t>I</w:t>
      </w:r>
      <w:r w:rsidR="00D578B1" w:rsidRPr="004D6263">
        <w:rPr>
          <w:rFonts w:ascii="Times New Roman" w:hAnsi="Times New Roman" w:cs="Times New Roman"/>
          <w:sz w:val="24"/>
          <w:szCs w:val="24"/>
        </w:rPr>
        <w:t>nternet</w:t>
      </w:r>
      <w:r w:rsidR="00970C76" w:rsidRPr="004D6263">
        <w:rPr>
          <w:rFonts w:ascii="Times New Roman" w:hAnsi="Times New Roman" w:cs="Times New Roman"/>
          <w:sz w:val="24"/>
          <w:szCs w:val="24"/>
        </w:rPr>
        <w:t xml:space="preserve">, y el de Educación Dual Suizo (Cámara Suizo Mexicana, </w:t>
      </w:r>
      <w:r w:rsidR="001D6082" w:rsidRPr="004D6263">
        <w:rPr>
          <w:rFonts w:ascii="Times New Roman" w:hAnsi="Times New Roman" w:cs="Times New Roman"/>
          <w:sz w:val="24"/>
          <w:szCs w:val="24"/>
        </w:rPr>
        <w:t>s. f.</w:t>
      </w:r>
      <w:r w:rsidR="00970C76" w:rsidRPr="004D6263">
        <w:rPr>
          <w:rFonts w:ascii="Times New Roman" w:hAnsi="Times New Roman" w:cs="Times New Roman"/>
          <w:sz w:val="24"/>
          <w:szCs w:val="24"/>
        </w:rPr>
        <w:t>)</w:t>
      </w:r>
      <w:r w:rsidR="00DB3579" w:rsidRPr="004D6263">
        <w:rPr>
          <w:rFonts w:ascii="Times New Roman" w:hAnsi="Times New Roman" w:cs="Times New Roman"/>
          <w:sz w:val="24"/>
          <w:szCs w:val="24"/>
        </w:rPr>
        <w:t>;</w:t>
      </w:r>
      <w:r w:rsidR="00970C76" w:rsidRPr="003E7A82">
        <w:rPr>
          <w:rFonts w:ascii="Times New Roman" w:hAnsi="Times New Roman" w:cs="Times New Roman"/>
          <w:sz w:val="24"/>
          <w:szCs w:val="24"/>
        </w:rPr>
        <w:t xml:space="preserve"> coincidentemente reúnen ambos aspectos del quinto eje propuesto. Es admirable a su vez apreciar el crecimiento que mostró la capacitación en línea con la presencia de la pandemia, un gran número de instituciones de educación superior, desde el Instituto Tecnológico Autónomo de México, hasta la Universidad de Chicago, ampliaron sus programas presenciales a versiones accesibles en línea con mucho éxito</w:t>
      </w:r>
      <w:r w:rsidR="00577311" w:rsidRPr="003E7A82">
        <w:rPr>
          <w:rFonts w:ascii="Times New Roman" w:hAnsi="Times New Roman" w:cs="Times New Roman"/>
          <w:sz w:val="24"/>
          <w:szCs w:val="24"/>
        </w:rPr>
        <w:t>.</w:t>
      </w:r>
    </w:p>
    <w:p w14:paraId="7A18B641" w14:textId="77777777" w:rsidR="003470F9" w:rsidRDefault="003470F9" w:rsidP="00E77F98">
      <w:pPr>
        <w:tabs>
          <w:tab w:val="left" w:pos="284"/>
        </w:tabs>
        <w:spacing w:before="40" w:after="40" w:line="360" w:lineRule="auto"/>
        <w:jc w:val="center"/>
        <w:rPr>
          <w:rFonts w:ascii="Times New Roman" w:hAnsi="Times New Roman" w:cs="Times New Roman"/>
          <w:b/>
          <w:sz w:val="32"/>
          <w:szCs w:val="32"/>
        </w:rPr>
      </w:pPr>
    </w:p>
    <w:p w14:paraId="0F179802" w14:textId="77777777" w:rsidR="0028689B" w:rsidRDefault="0028689B" w:rsidP="00E77F98">
      <w:pPr>
        <w:tabs>
          <w:tab w:val="left" w:pos="284"/>
        </w:tabs>
        <w:spacing w:before="40" w:after="40" w:line="360" w:lineRule="auto"/>
        <w:jc w:val="center"/>
        <w:rPr>
          <w:rFonts w:ascii="Times New Roman" w:hAnsi="Times New Roman" w:cs="Times New Roman"/>
          <w:b/>
          <w:sz w:val="32"/>
          <w:szCs w:val="32"/>
        </w:rPr>
      </w:pPr>
    </w:p>
    <w:p w14:paraId="07C00942" w14:textId="77777777" w:rsidR="0028689B" w:rsidRDefault="0028689B" w:rsidP="00E77F98">
      <w:pPr>
        <w:tabs>
          <w:tab w:val="left" w:pos="284"/>
        </w:tabs>
        <w:spacing w:before="40" w:after="40" w:line="360" w:lineRule="auto"/>
        <w:jc w:val="center"/>
        <w:rPr>
          <w:rFonts w:ascii="Times New Roman" w:hAnsi="Times New Roman" w:cs="Times New Roman"/>
          <w:b/>
          <w:sz w:val="32"/>
          <w:szCs w:val="32"/>
        </w:rPr>
      </w:pPr>
    </w:p>
    <w:p w14:paraId="78C54D25" w14:textId="6940E832" w:rsidR="00AD457F" w:rsidRPr="003E7A82" w:rsidRDefault="00AD457F" w:rsidP="00E77F98">
      <w:pPr>
        <w:tabs>
          <w:tab w:val="left" w:pos="284"/>
        </w:tabs>
        <w:spacing w:before="40" w:after="40" w:line="360" w:lineRule="auto"/>
        <w:jc w:val="center"/>
        <w:rPr>
          <w:rFonts w:ascii="Times New Roman" w:hAnsi="Times New Roman" w:cs="Times New Roman"/>
          <w:sz w:val="32"/>
          <w:szCs w:val="32"/>
        </w:rPr>
      </w:pPr>
      <w:r w:rsidRPr="003E7A82">
        <w:rPr>
          <w:rFonts w:ascii="Times New Roman" w:hAnsi="Times New Roman" w:cs="Times New Roman"/>
          <w:b/>
          <w:sz w:val="32"/>
          <w:szCs w:val="32"/>
        </w:rPr>
        <w:t>Conclusiones</w:t>
      </w:r>
    </w:p>
    <w:p w14:paraId="065C5085" w14:textId="36C6733F" w:rsidR="00BA7EBC" w:rsidRPr="003E7A82" w:rsidRDefault="00AD457F" w:rsidP="00E77F98">
      <w:pPr>
        <w:spacing w:before="40" w:after="40" w:line="360" w:lineRule="auto"/>
        <w:jc w:val="both"/>
        <w:rPr>
          <w:rFonts w:ascii="Times New Roman" w:hAnsi="Times New Roman" w:cs="Times New Roman"/>
          <w:iCs/>
          <w:sz w:val="24"/>
          <w:szCs w:val="24"/>
        </w:rPr>
      </w:pPr>
      <w:r w:rsidRPr="004D6263">
        <w:rPr>
          <w:rFonts w:ascii="Times New Roman" w:hAnsi="Times New Roman" w:cs="Times New Roman"/>
          <w:sz w:val="24"/>
          <w:szCs w:val="24"/>
        </w:rPr>
        <w:t>Es evidente</w:t>
      </w:r>
      <w:r w:rsidR="00DB3579" w:rsidRPr="004D6263">
        <w:rPr>
          <w:rFonts w:ascii="Times New Roman" w:hAnsi="Times New Roman" w:cs="Times New Roman"/>
          <w:sz w:val="24"/>
          <w:szCs w:val="24"/>
        </w:rPr>
        <w:t>,</w:t>
      </w:r>
      <w:r w:rsidRPr="004D6263">
        <w:rPr>
          <w:rFonts w:ascii="Times New Roman" w:hAnsi="Times New Roman" w:cs="Times New Roman"/>
          <w:sz w:val="24"/>
          <w:szCs w:val="24"/>
        </w:rPr>
        <w:t xml:space="preserve"> conforme a la revisión crítica de la literatura realizada y al intercambio de hallazgos obtenidos en la misma</w:t>
      </w:r>
      <w:r w:rsidR="00DB3579" w:rsidRPr="004D6263">
        <w:rPr>
          <w:rFonts w:ascii="Times New Roman" w:hAnsi="Times New Roman" w:cs="Times New Roman"/>
          <w:sz w:val="24"/>
          <w:szCs w:val="24"/>
        </w:rPr>
        <w:t>,</w:t>
      </w:r>
      <w:r w:rsidRPr="004D6263">
        <w:rPr>
          <w:rFonts w:ascii="Times New Roman" w:hAnsi="Times New Roman" w:cs="Times New Roman"/>
          <w:sz w:val="24"/>
          <w:szCs w:val="24"/>
        </w:rPr>
        <w:t xml:space="preserve"> que México cuenta con un avance relevante en lo que se refiere a la internacionalización de la educación superior. Sobreviven sin embargo diversas áreas de oportunidad, tanto aquellas señaladas por la OCDE, como </w:t>
      </w:r>
      <w:r w:rsidR="00DB3579" w:rsidRPr="004D6263">
        <w:rPr>
          <w:rFonts w:ascii="Times New Roman" w:hAnsi="Times New Roman" w:cs="Times New Roman"/>
          <w:sz w:val="24"/>
          <w:szCs w:val="24"/>
        </w:rPr>
        <w:t xml:space="preserve">las </w:t>
      </w:r>
      <w:r w:rsidRPr="004D6263">
        <w:rPr>
          <w:rFonts w:ascii="Times New Roman" w:hAnsi="Times New Roman" w:cs="Times New Roman"/>
          <w:sz w:val="24"/>
          <w:szCs w:val="24"/>
        </w:rPr>
        <w:t>resultantes de los comparativos con los sistemas de educación superior de otros países, c</w:t>
      </w:r>
      <w:r w:rsidRPr="003E7A82">
        <w:rPr>
          <w:rFonts w:ascii="Times New Roman" w:hAnsi="Times New Roman" w:cs="Times New Roman"/>
          <w:sz w:val="24"/>
          <w:szCs w:val="24"/>
        </w:rPr>
        <w:t xml:space="preserve">omo la formalización profesional que tiene lugar en Finlandia y la identificación de nuevas vertientes educativas que atiendan al impacto del bono demográfico y el </w:t>
      </w:r>
      <w:proofErr w:type="spellStart"/>
      <w:r w:rsidRPr="003E7A82">
        <w:rPr>
          <w:rFonts w:ascii="Times New Roman" w:hAnsi="Times New Roman" w:cs="Times New Roman"/>
          <w:i/>
          <w:sz w:val="24"/>
          <w:szCs w:val="24"/>
        </w:rPr>
        <w:t>nearshoring</w:t>
      </w:r>
      <w:proofErr w:type="spellEnd"/>
      <w:r w:rsidRPr="003E7A82">
        <w:rPr>
          <w:rFonts w:ascii="Times New Roman" w:hAnsi="Times New Roman" w:cs="Times New Roman"/>
          <w:sz w:val="24"/>
          <w:szCs w:val="24"/>
        </w:rPr>
        <w:t xml:space="preserve"> que ciertamente generarán diferencias relevantes en cuanto a las matrículas requeridas en la educación superior que pueda</w:t>
      </w:r>
      <w:r w:rsidR="00DB3579" w:rsidRPr="004D6263">
        <w:rPr>
          <w:rFonts w:ascii="Times New Roman" w:hAnsi="Times New Roman" w:cs="Times New Roman"/>
          <w:sz w:val="24"/>
          <w:szCs w:val="24"/>
        </w:rPr>
        <w:t>n</w:t>
      </w:r>
      <w:r w:rsidRPr="003E7A82">
        <w:rPr>
          <w:rFonts w:ascii="Times New Roman" w:hAnsi="Times New Roman" w:cs="Times New Roman"/>
          <w:sz w:val="24"/>
          <w:szCs w:val="24"/>
        </w:rPr>
        <w:t xml:space="preserve"> atender esos eventos, así como las consecuencias que estas puedan tener en la atención de otros sectores de la economía que el día de hoy se encuentran sub atendidos como el sector salud. </w:t>
      </w:r>
      <w:r w:rsidRPr="003E7A82">
        <w:rPr>
          <w:rFonts w:ascii="Times New Roman" w:hAnsi="Times New Roman" w:cs="Times New Roman"/>
          <w:iCs/>
          <w:sz w:val="24"/>
          <w:szCs w:val="24"/>
        </w:rPr>
        <w:t xml:space="preserve">Respecto al sector empresarial, desde los años </w:t>
      </w:r>
      <w:r w:rsidR="00551E8E" w:rsidRPr="003E7A82">
        <w:rPr>
          <w:rFonts w:ascii="Times New Roman" w:hAnsi="Times New Roman" w:cs="Times New Roman"/>
          <w:iCs/>
          <w:sz w:val="24"/>
          <w:szCs w:val="24"/>
        </w:rPr>
        <w:t>ochenta</w:t>
      </w:r>
      <w:r w:rsidRPr="003E7A82">
        <w:rPr>
          <w:rFonts w:ascii="Times New Roman" w:hAnsi="Times New Roman" w:cs="Times New Roman"/>
          <w:iCs/>
          <w:sz w:val="24"/>
          <w:szCs w:val="24"/>
        </w:rPr>
        <w:t xml:space="preserve"> se han habilitado procesos de integración económica, social y cultural. Dado que la globalización hace que las empresas, proveedoras de productos, servicios y empleos, replanteen sus procesos de comercialización y producción, entre otros argumentos para la internacionalización del sector empresarial</w:t>
      </w:r>
      <w:r w:rsidR="0047420D" w:rsidRPr="003E7A82">
        <w:rPr>
          <w:rFonts w:ascii="Times New Roman" w:hAnsi="Times New Roman" w:cs="Times New Roman"/>
          <w:iCs/>
          <w:sz w:val="24"/>
          <w:szCs w:val="24"/>
        </w:rPr>
        <w:t xml:space="preserve"> se pueden citar</w:t>
      </w:r>
      <w:r w:rsidRPr="003E7A82">
        <w:rPr>
          <w:rFonts w:ascii="Times New Roman" w:hAnsi="Times New Roman" w:cs="Times New Roman"/>
          <w:iCs/>
          <w:sz w:val="24"/>
          <w:szCs w:val="24"/>
        </w:rPr>
        <w:t>: la comparación y reducción de los costos y gastos de producción, distribución y comercialización de productos o servicios hacia el mercado extranjero, que se puede deber a una diferencia en el costo de la mano de obra, a la distancia para llevar el producto o servicio, a la existencia o ausencia de aranceles; la posibilidad de crear las condiciones necesarias para la generación de economías de escala como elementos para la creación de escenarios y fundamentar una toma de decisiones adecuada para habilitar la internacionalización de la empresa; adicionalmente al argumento de producir en el</w:t>
      </w:r>
      <w:r w:rsidRPr="003E7A82">
        <w:rPr>
          <w:rFonts w:ascii="Times New Roman" w:hAnsi="Times New Roman" w:cs="Times New Roman"/>
          <w:i/>
          <w:iCs/>
          <w:sz w:val="24"/>
          <w:szCs w:val="24"/>
        </w:rPr>
        <w:t xml:space="preserve"> </w:t>
      </w:r>
      <w:r w:rsidRPr="003E7A82">
        <w:rPr>
          <w:rFonts w:ascii="Times New Roman" w:hAnsi="Times New Roman" w:cs="Times New Roman"/>
          <w:iCs/>
          <w:sz w:val="24"/>
          <w:szCs w:val="24"/>
        </w:rPr>
        <w:t>extranjero. Por ejemplo, para las empresas japonesas les es conveniente poner parte o totalmente la producción de insumos en el extranjero manteniendo la integridad de sus derechos de marca, lo cual implica una formación profesional multinacional, desde el nivel técnico hasta el nivel superior.</w:t>
      </w:r>
    </w:p>
    <w:p w14:paraId="09151912" w14:textId="4188E8B1" w:rsidR="00B57A8D" w:rsidRDefault="00B57A8D"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Después </w:t>
      </w:r>
      <w:r w:rsidR="00674954" w:rsidRPr="003E7A82">
        <w:rPr>
          <w:rFonts w:ascii="Times New Roman" w:hAnsi="Times New Roman" w:cs="Times New Roman"/>
          <w:iCs/>
          <w:sz w:val="24"/>
          <w:szCs w:val="24"/>
        </w:rPr>
        <w:t xml:space="preserve">de todo, </w:t>
      </w:r>
      <w:r w:rsidR="003158C2" w:rsidRPr="003E7A82">
        <w:rPr>
          <w:rFonts w:ascii="Times New Roman" w:hAnsi="Times New Roman" w:cs="Times New Roman"/>
          <w:iCs/>
          <w:sz w:val="24"/>
          <w:szCs w:val="24"/>
        </w:rPr>
        <w:t xml:space="preserve">entre los principales detonadores </w:t>
      </w:r>
      <w:r w:rsidR="007A7297" w:rsidRPr="003E7A82">
        <w:rPr>
          <w:rFonts w:ascii="Times New Roman" w:hAnsi="Times New Roman" w:cs="Times New Roman"/>
          <w:iCs/>
          <w:sz w:val="24"/>
          <w:szCs w:val="24"/>
        </w:rPr>
        <w:t xml:space="preserve"> de cambios en la vida social se identifican</w:t>
      </w:r>
      <w:r w:rsidR="00B357B0" w:rsidRPr="003E7A82">
        <w:rPr>
          <w:rFonts w:ascii="Times New Roman" w:hAnsi="Times New Roman" w:cs="Times New Roman"/>
          <w:iCs/>
          <w:sz w:val="24"/>
          <w:szCs w:val="24"/>
        </w:rPr>
        <w:t xml:space="preserve"> la</w:t>
      </w:r>
      <w:r w:rsidR="00E63819" w:rsidRPr="003E7A82">
        <w:rPr>
          <w:rFonts w:ascii="Times New Roman" w:hAnsi="Times New Roman" w:cs="Times New Roman"/>
          <w:iCs/>
          <w:sz w:val="24"/>
          <w:szCs w:val="24"/>
        </w:rPr>
        <w:t xml:space="preserve"> globalización </w:t>
      </w:r>
      <w:r w:rsidR="00B357B0" w:rsidRPr="003E7A82">
        <w:rPr>
          <w:rFonts w:ascii="Times New Roman" w:hAnsi="Times New Roman" w:cs="Times New Roman"/>
          <w:iCs/>
          <w:sz w:val="24"/>
          <w:szCs w:val="24"/>
        </w:rPr>
        <w:t xml:space="preserve">de la economía con las </w:t>
      </w:r>
      <w:r w:rsidR="00E63819" w:rsidRPr="003E7A82">
        <w:rPr>
          <w:rFonts w:ascii="Times New Roman" w:hAnsi="Times New Roman" w:cs="Times New Roman"/>
          <w:iCs/>
          <w:sz w:val="24"/>
          <w:szCs w:val="24"/>
        </w:rPr>
        <w:t>interdependencia</w:t>
      </w:r>
      <w:r w:rsidR="00B357B0" w:rsidRPr="003E7A82">
        <w:rPr>
          <w:rFonts w:ascii="Times New Roman" w:hAnsi="Times New Roman" w:cs="Times New Roman"/>
          <w:iCs/>
          <w:sz w:val="24"/>
          <w:szCs w:val="24"/>
        </w:rPr>
        <w:t>s que esta genera</w:t>
      </w:r>
      <w:r w:rsidR="001577CA" w:rsidRPr="003E7A82">
        <w:rPr>
          <w:rFonts w:ascii="Times New Roman" w:hAnsi="Times New Roman" w:cs="Times New Roman"/>
          <w:iCs/>
          <w:sz w:val="24"/>
          <w:szCs w:val="24"/>
        </w:rPr>
        <w:t xml:space="preserve">, </w:t>
      </w:r>
      <w:r w:rsidR="00115BF2" w:rsidRPr="003E7A82">
        <w:rPr>
          <w:rFonts w:ascii="Times New Roman" w:hAnsi="Times New Roman" w:cs="Times New Roman"/>
          <w:iCs/>
          <w:sz w:val="24"/>
          <w:szCs w:val="24"/>
        </w:rPr>
        <w:t xml:space="preserve">con </w:t>
      </w:r>
      <w:r w:rsidR="001577CA" w:rsidRPr="003E7A82">
        <w:rPr>
          <w:rFonts w:ascii="Times New Roman" w:hAnsi="Times New Roman" w:cs="Times New Roman"/>
          <w:iCs/>
          <w:sz w:val="24"/>
          <w:szCs w:val="24"/>
        </w:rPr>
        <w:t>los retos y desafíos</w:t>
      </w:r>
      <w:r w:rsidR="00E63819" w:rsidRPr="003E7A82">
        <w:rPr>
          <w:rFonts w:ascii="Times New Roman" w:hAnsi="Times New Roman" w:cs="Times New Roman"/>
          <w:iCs/>
          <w:sz w:val="24"/>
          <w:szCs w:val="24"/>
        </w:rPr>
        <w:t xml:space="preserve"> cultural</w:t>
      </w:r>
      <w:r w:rsidR="001577CA" w:rsidRPr="003E7A82">
        <w:rPr>
          <w:rFonts w:ascii="Times New Roman" w:hAnsi="Times New Roman" w:cs="Times New Roman"/>
          <w:iCs/>
          <w:sz w:val="24"/>
          <w:szCs w:val="24"/>
        </w:rPr>
        <w:t>es</w:t>
      </w:r>
      <w:r w:rsidR="00E63819" w:rsidRPr="003E7A82">
        <w:rPr>
          <w:rFonts w:ascii="Times New Roman" w:hAnsi="Times New Roman" w:cs="Times New Roman"/>
          <w:iCs/>
          <w:sz w:val="24"/>
          <w:szCs w:val="24"/>
        </w:rPr>
        <w:t>, polític</w:t>
      </w:r>
      <w:r w:rsidR="001577CA" w:rsidRPr="003E7A82">
        <w:rPr>
          <w:rFonts w:ascii="Times New Roman" w:hAnsi="Times New Roman" w:cs="Times New Roman"/>
          <w:iCs/>
          <w:sz w:val="24"/>
          <w:szCs w:val="24"/>
        </w:rPr>
        <w:t>os</w:t>
      </w:r>
      <w:r w:rsidR="00E63819" w:rsidRPr="003E7A82">
        <w:rPr>
          <w:rFonts w:ascii="Times New Roman" w:hAnsi="Times New Roman" w:cs="Times New Roman"/>
          <w:iCs/>
          <w:sz w:val="24"/>
          <w:szCs w:val="24"/>
        </w:rPr>
        <w:t xml:space="preserve"> y ambiental</w:t>
      </w:r>
      <w:r w:rsidR="001577CA" w:rsidRPr="003E7A82">
        <w:rPr>
          <w:rFonts w:ascii="Times New Roman" w:hAnsi="Times New Roman" w:cs="Times New Roman"/>
          <w:iCs/>
          <w:sz w:val="24"/>
          <w:szCs w:val="24"/>
        </w:rPr>
        <w:t>es que est</w:t>
      </w:r>
      <w:r w:rsidR="00115BF2" w:rsidRPr="003E7A82">
        <w:rPr>
          <w:rFonts w:ascii="Times New Roman" w:hAnsi="Times New Roman" w:cs="Times New Roman"/>
          <w:iCs/>
          <w:sz w:val="24"/>
          <w:szCs w:val="24"/>
        </w:rPr>
        <w:t>a representa</w:t>
      </w:r>
      <w:r w:rsidR="00E63819" w:rsidRPr="003E7A82">
        <w:rPr>
          <w:rFonts w:ascii="Times New Roman" w:hAnsi="Times New Roman" w:cs="Times New Roman"/>
          <w:iCs/>
          <w:sz w:val="24"/>
          <w:szCs w:val="24"/>
        </w:rPr>
        <w:t>; l</w:t>
      </w:r>
      <w:r w:rsidR="00115BF2" w:rsidRPr="003E7A82">
        <w:rPr>
          <w:rFonts w:ascii="Times New Roman" w:hAnsi="Times New Roman" w:cs="Times New Roman"/>
          <w:iCs/>
          <w:sz w:val="24"/>
          <w:szCs w:val="24"/>
        </w:rPr>
        <w:t>os cambios y avances tecnológicos</w:t>
      </w:r>
      <w:r w:rsidR="00DE3508" w:rsidRPr="003E7A82">
        <w:rPr>
          <w:rFonts w:ascii="Times New Roman" w:hAnsi="Times New Roman" w:cs="Times New Roman"/>
          <w:iCs/>
          <w:sz w:val="24"/>
          <w:szCs w:val="24"/>
        </w:rPr>
        <w:t xml:space="preserve"> que se requieren para la p</w:t>
      </w:r>
      <w:r w:rsidR="00E63819" w:rsidRPr="003E7A82">
        <w:rPr>
          <w:rFonts w:ascii="Times New Roman" w:hAnsi="Times New Roman" w:cs="Times New Roman"/>
          <w:iCs/>
          <w:sz w:val="24"/>
          <w:szCs w:val="24"/>
        </w:rPr>
        <w:t xml:space="preserve">roducción, </w:t>
      </w:r>
      <w:r w:rsidR="00DE3508" w:rsidRPr="003E7A82">
        <w:rPr>
          <w:rFonts w:ascii="Times New Roman" w:hAnsi="Times New Roman" w:cs="Times New Roman"/>
          <w:iCs/>
          <w:sz w:val="24"/>
          <w:szCs w:val="24"/>
        </w:rPr>
        <w:t xml:space="preserve">la </w:t>
      </w:r>
      <w:r w:rsidR="00E63819" w:rsidRPr="003E7A82">
        <w:rPr>
          <w:rFonts w:ascii="Times New Roman" w:hAnsi="Times New Roman" w:cs="Times New Roman"/>
          <w:iCs/>
          <w:sz w:val="24"/>
          <w:szCs w:val="24"/>
        </w:rPr>
        <w:t>distribución y</w:t>
      </w:r>
      <w:r w:rsidR="00415506" w:rsidRPr="003E7A82">
        <w:rPr>
          <w:rFonts w:ascii="Times New Roman" w:hAnsi="Times New Roman" w:cs="Times New Roman"/>
          <w:iCs/>
          <w:sz w:val="24"/>
          <w:szCs w:val="24"/>
        </w:rPr>
        <w:t xml:space="preserve"> </w:t>
      </w:r>
      <w:r w:rsidR="00DE3508" w:rsidRPr="003E7A82">
        <w:rPr>
          <w:rFonts w:ascii="Times New Roman" w:hAnsi="Times New Roman" w:cs="Times New Roman"/>
          <w:iCs/>
          <w:sz w:val="24"/>
          <w:szCs w:val="24"/>
        </w:rPr>
        <w:t xml:space="preserve">el </w:t>
      </w:r>
      <w:r w:rsidR="00E63819" w:rsidRPr="003E7A82">
        <w:rPr>
          <w:rFonts w:ascii="Times New Roman" w:hAnsi="Times New Roman" w:cs="Times New Roman"/>
          <w:iCs/>
          <w:sz w:val="24"/>
          <w:szCs w:val="24"/>
        </w:rPr>
        <w:t xml:space="preserve">consumo de </w:t>
      </w:r>
      <w:r w:rsidR="001402E6" w:rsidRPr="003E7A82">
        <w:rPr>
          <w:rFonts w:ascii="Times New Roman" w:hAnsi="Times New Roman" w:cs="Times New Roman"/>
          <w:iCs/>
          <w:sz w:val="24"/>
          <w:szCs w:val="24"/>
        </w:rPr>
        <w:t xml:space="preserve">los </w:t>
      </w:r>
      <w:r w:rsidR="00E63819" w:rsidRPr="003E7A82">
        <w:rPr>
          <w:rFonts w:ascii="Times New Roman" w:hAnsi="Times New Roman" w:cs="Times New Roman"/>
          <w:iCs/>
          <w:sz w:val="24"/>
          <w:szCs w:val="24"/>
        </w:rPr>
        <w:t xml:space="preserve">bienes y </w:t>
      </w:r>
      <w:r w:rsidR="001402E6" w:rsidRPr="003E7A82">
        <w:rPr>
          <w:rFonts w:ascii="Times New Roman" w:hAnsi="Times New Roman" w:cs="Times New Roman"/>
          <w:iCs/>
          <w:sz w:val="24"/>
          <w:szCs w:val="24"/>
        </w:rPr>
        <w:t>servicios</w:t>
      </w:r>
      <w:r w:rsidR="00E63819" w:rsidRPr="003E7A82">
        <w:rPr>
          <w:rFonts w:ascii="Times New Roman" w:hAnsi="Times New Roman" w:cs="Times New Roman"/>
          <w:iCs/>
          <w:sz w:val="24"/>
          <w:szCs w:val="24"/>
        </w:rPr>
        <w:t>; l</w:t>
      </w:r>
      <w:r w:rsidR="001402E6" w:rsidRPr="003E7A82">
        <w:rPr>
          <w:rFonts w:ascii="Times New Roman" w:hAnsi="Times New Roman" w:cs="Times New Roman"/>
          <w:iCs/>
          <w:sz w:val="24"/>
          <w:szCs w:val="24"/>
        </w:rPr>
        <w:t>os esquemas alternativos de ejecución</w:t>
      </w:r>
      <w:r w:rsidR="00E63819" w:rsidRPr="003E7A82">
        <w:rPr>
          <w:rFonts w:ascii="Times New Roman" w:hAnsi="Times New Roman" w:cs="Times New Roman"/>
          <w:iCs/>
          <w:sz w:val="24"/>
          <w:szCs w:val="24"/>
        </w:rPr>
        <w:t xml:space="preserve"> del trabajo; la </w:t>
      </w:r>
      <w:r w:rsidR="001402E6" w:rsidRPr="003E7A82">
        <w:rPr>
          <w:rFonts w:ascii="Times New Roman" w:hAnsi="Times New Roman" w:cs="Times New Roman"/>
          <w:iCs/>
          <w:sz w:val="24"/>
          <w:szCs w:val="24"/>
        </w:rPr>
        <w:t>continua</w:t>
      </w:r>
      <w:r w:rsidR="00E63819" w:rsidRPr="003E7A82">
        <w:rPr>
          <w:rFonts w:ascii="Times New Roman" w:hAnsi="Times New Roman" w:cs="Times New Roman"/>
          <w:iCs/>
          <w:sz w:val="24"/>
          <w:szCs w:val="24"/>
        </w:rPr>
        <w:t xml:space="preserve"> innovac</w:t>
      </w:r>
      <w:r w:rsidR="001402E6" w:rsidRPr="003E7A82">
        <w:rPr>
          <w:rFonts w:ascii="Times New Roman" w:hAnsi="Times New Roman" w:cs="Times New Roman"/>
          <w:iCs/>
          <w:sz w:val="24"/>
          <w:szCs w:val="24"/>
        </w:rPr>
        <w:t>ión</w:t>
      </w:r>
      <w:r w:rsidR="004B31D8" w:rsidRPr="003E7A82">
        <w:rPr>
          <w:rFonts w:ascii="Times New Roman" w:hAnsi="Times New Roman" w:cs="Times New Roman"/>
          <w:iCs/>
          <w:sz w:val="24"/>
          <w:szCs w:val="24"/>
        </w:rPr>
        <w:t xml:space="preserve">, </w:t>
      </w:r>
      <w:r w:rsidR="00E63819" w:rsidRPr="003E7A82">
        <w:rPr>
          <w:rFonts w:ascii="Times New Roman" w:hAnsi="Times New Roman" w:cs="Times New Roman"/>
          <w:iCs/>
          <w:sz w:val="24"/>
          <w:szCs w:val="24"/>
        </w:rPr>
        <w:t>el valor  del</w:t>
      </w:r>
      <w:r w:rsidR="00415506" w:rsidRPr="003E7A82">
        <w:rPr>
          <w:rFonts w:ascii="Times New Roman" w:hAnsi="Times New Roman" w:cs="Times New Roman"/>
          <w:iCs/>
          <w:sz w:val="24"/>
          <w:szCs w:val="24"/>
        </w:rPr>
        <w:t xml:space="preserve"> </w:t>
      </w:r>
      <w:r w:rsidR="00E63819" w:rsidRPr="003E7A82">
        <w:rPr>
          <w:rFonts w:ascii="Times New Roman" w:hAnsi="Times New Roman" w:cs="Times New Roman"/>
          <w:iCs/>
          <w:sz w:val="24"/>
          <w:szCs w:val="24"/>
        </w:rPr>
        <w:t>conocimiento y la información</w:t>
      </w:r>
      <w:r w:rsidR="00023953" w:rsidRPr="003E7A82">
        <w:rPr>
          <w:rFonts w:ascii="Times New Roman" w:hAnsi="Times New Roman" w:cs="Times New Roman"/>
          <w:iCs/>
          <w:sz w:val="24"/>
          <w:szCs w:val="24"/>
        </w:rPr>
        <w:t xml:space="preserve"> entre otros</w:t>
      </w:r>
      <w:r w:rsidR="00E8522C" w:rsidRPr="003E7A82">
        <w:rPr>
          <w:rFonts w:ascii="Times New Roman" w:hAnsi="Times New Roman" w:cs="Times New Roman"/>
          <w:iCs/>
          <w:sz w:val="24"/>
          <w:szCs w:val="24"/>
        </w:rPr>
        <w:t>. Entonces la</w:t>
      </w:r>
      <w:r w:rsidR="002B17F3" w:rsidRPr="003E7A82">
        <w:rPr>
          <w:rFonts w:ascii="Times New Roman" w:hAnsi="Times New Roman" w:cs="Times New Roman"/>
          <w:iCs/>
          <w:sz w:val="24"/>
          <w:szCs w:val="24"/>
        </w:rPr>
        <w:t>s instituciones de</w:t>
      </w:r>
      <w:r w:rsidR="00E953FA" w:rsidRPr="003E7A82">
        <w:rPr>
          <w:rFonts w:ascii="Times New Roman" w:hAnsi="Times New Roman" w:cs="Times New Roman"/>
          <w:iCs/>
          <w:sz w:val="24"/>
          <w:szCs w:val="24"/>
        </w:rPr>
        <w:t xml:space="preserve"> educación superior</w:t>
      </w:r>
      <w:r w:rsidR="00E8522C" w:rsidRPr="003E7A82">
        <w:rPr>
          <w:rFonts w:ascii="Times New Roman" w:hAnsi="Times New Roman" w:cs="Times New Roman"/>
          <w:iCs/>
          <w:sz w:val="24"/>
          <w:szCs w:val="24"/>
        </w:rPr>
        <w:t>, en su afán por</w:t>
      </w:r>
      <w:r w:rsidR="0084115C" w:rsidRPr="003E7A82">
        <w:rPr>
          <w:rFonts w:ascii="Times New Roman" w:hAnsi="Times New Roman" w:cs="Times New Roman"/>
          <w:iCs/>
          <w:sz w:val="24"/>
          <w:szCs w:val="24"/>
        </w:rPr>
        <w:t xml:space="preserve"> cumplir con su compromiso social deberían considerar a la </w:t>
      </w:r>
      <w:r w:rsidR="0084115C" w:rsidRPr="003E7A82">
        <w:rPr>
          <w:rFonts w:ascii="Times New Roman" w:hAnsi="Times New Roman" w:cs="Times New Roman"/>
          <w:iCs/>
          <w:sz w:val="24"/>
          <w:szCs w:val="24"/>
        </w:rPr>
        <w:lastRenderedPageBreak/>
        <w:t>internacionalización como un insumo necesario para atender estas alteraciones sociales.</w:t>
      </w:r>
      <w:r w:rsidR="00842C26" w:rsidRPr="003E7A82">
        <w:rPr>
          <w:rFonts w:ascii="Times New Roman" w:hAnsi="Times New Roman" w:cs="Times New Roman"/>
          <w:iCs/>
          <w:sz w:val="24"/>
          <w:szCs w:val="24"/>
        </w:rPr>
        <w:t xml:space="preserve"> Ante esta situación, </w:t>
      </w:r>
      <w:r w:rsidR="001E3A5C" w:rsidRPr="003E7A82">
        <w:rPr>
          <w:rFonts w:ascii="Times New Roman" w:hAnsi="Times New Roman" w:cs="Times New Roman"/>
          <w:iCs/>
          <w:sz w:val="24"/>
          <w:szCs w:val="24"/>
        </w:rPr>
        <w:t>se ha s</w:t>
      </w:r>
      <w:r w:rsidR="00DA4F3A" w:rsidRPr="003E7A82">
        <w:rPr>
          <w:rFonts w:ascii="Times New Roman" w:hAnsi="Times New Roman" w:cs="Times New Roman"/>
          <w:iCs/>
          <w:sz w:val="24"/>
          <w:szCs w:val="24"/>
        </w:rPr>
        <w:t>eñala</w:t>
      </w:r>
      <w:r w:rsidR="001E3A5C" w:rsidRPr="003E7A82">
        <w:rPr>
          <w:rFonts w:ascii="Times New Roman" w:hAnsi="Times New Roman" w:cs="Times New Roman"/>
          <w:iCs/>
          <w:sz w:val="24"/>
          <w:szCs w:val="24"/>
        </w:rPr>
        <w:t>do</w:t>
      </w:r>
      <w:r w:rsidR="00DA4F3A" w:rsidRPr="003E7A82">
        <w:rPr>
          <w:rFonts w:ascii="Times New Roman" w:hAnsi="Times New Roman" w:cs="Times New Roman"/>
          <w:iCs/>
          <w:sz w:val="24"/>
          <w:szCs w:val="24"/>
        </w:rPr>
        <w:t xml:space="preserve"> </w:t>
      </w:r>
      <w:r w:rsidR="00842C26" w:rsidRPr="003E7A82">
        <w:rPr>
          <w:rFonts w:ascii="Times New Roman" w:hAnsi="Times New Roman" w:cs="Times New Roman"/>
          <w:iCs/>
          <w:sz w:val="24"/>
          <w:szCs w:val="24"/>
        </w:rPr>
        <w:t xml:space="preserve">como prioridad </w:t>
      </w:r>
      <w:r w:rsidR="00DA4F3A" w:rsidRPr="003E7A82">
        <w:rPr>
          <w:rFonts w:ascii="Times New Roman" w:hAnsi="Times New Roman" w:cs="Times New Roman"/>
          <w:iCs/>
          <w:sz w:val="24"/>
          <w:szCs w:val="24"/>
        </w:rPr>
        <w:t xml:space="preserve">para las instituciones de educación superior </w:t>
      </w:r>
      <w:r w:rsidR="002D04AD" w:rsidRPr="003E7A82">
        <w:rPr>
          <w:rFonts w:ascii="Times New Roman" w:hAnsi="Times New Roman" w:cs="Times New Roman"/>
          <w:iCs/>
          <w:sz w:val="24"/>
          <w:szCs w:val="24"/>
        </w:rPr>
        <w:t xml:space="preserve">considerar como prioridad </w:t>
      </w:r>
      <w:r w:rsidR="0050357B" w:rsidRPr="003E7A82">
        <w:rPr>
          <w:rFonts w:ascii="Times New Roman" w:hAnsi="Times New Roman" w:cs="Times New Roman"/>
          <w:iCs/>
          <w:sz w:val="24"/>
          <w:szCs w:val="24"/>
        </w:rPr>
        <w:t xml:space="preserve">un desarrollo humano sustentable en lo </w:t>
      </w:r>
      <w:r w:rsidR="00842C26" w:rsidRPr="003E7A82">
        <w:rPr>
          <w:rFonts w:ascii="Times New Roman" w:hAnsi="Times New Roman" w:cs="Times New Roman"/>
          <w:iCs/>
          <w:sz w:val="24"/>
          <w:szCs w:val="24"/>
        </w:rPr>
        <w:t>económico, social y cultural</w:t>
      </w:r>
      <w:r w:rsidR="0050357B" w:rsidRPr="003E7A82">
        <w:rPr>
          <w:rFonts w:ascii="Times New Roman" w:hAnsi="Times New Roman" w:cs="Times New Roman"/>
          <w:iCs/>
          <w:sz w:val="24"/>
          <w:szCs w:val="24"/>
        </w:rPr>
        <w:t xml:space="preserve">, así como fortalecer </w:t>
      </w:r>
      <w:r w:rsidR="00E1239A" w:rsidRPr="003E7A82">
        <w:rPr>
          <w:rFonts w:ascii="Times New Roman" w:hAnsi="Times New Roman" w:cs="Times New Roman"/>
          <w:iCs/>
          <w:sz w:val="24"/>
          <w:szCs w:val="24"/>
        </w:rPr>
        <w:t>presencia con programas universitarios</w:t>
      </w:r>
      <w:r w:rsidR="004260FD" w:rsidRPr="003E7A82">
        <w:rPr>
          <w:rFonts w:ascii="Times New Roman" w:hAnsi="Times New Roman" w:cs="Times New Roman"/>
          <w:iCs/>
          <w:sz w:val="24"/>
          <w:szCs w:val="24"/>
        </w:rPr>
        <w:t xml:space="preserve"> de calidad y pertinentes que comprendan el efecto de su </w:t>
      </w:r>
      <w:r w:rsidR="00842C26" w:rsidRPr="003E7A82">
        <w:rPr>
          <w:rFonts w:ascii="Times New Roman" w:hAnsi="Times New Roman" w:cs="Times New Roman"/>
          <w:iCs/>
          <w:sz w:val="24"/>
          <w:szCs w:val="24"/>
        </w:rPr>
        <w:t>internacionalización</w:t>
      </w:r>
      <w:r w:rsidR="00155C74" w:rsidRPr="003E7A82">
        <w:rPr>
          <w:rFonts w:ascii="Times New Roman" w:hAnsi="Times New Roman" w:cs="Times New Roman"/>
          <w:iCs/>
          <w:sz w:val="24"/>
          <w:szCs w:val="24"/>
        </w:rPr>
        <w:t>.</w:t>
      </w:r>
      <w:r w:rsidR="0064636F" w:rsidRPr="003E7A82">
        <w:rPr>
          <w:rFonts w:ascii="Times New Roman" w:hAnsi="Times New Roman" w:cs="Times New Roman"/>
          <w:iCs/>
          <w:sz w:val="24"/>
          <w:szCs w:val="24"/>
        </w:rPr>
        <w:t xml:space="preserve"> Esto implica diversificar e incrementar sus programas </w:t>
      </w:r>
      <w:r w:rsidR="007A2F36" w:rsidRPr="003E7A82">
        <w:rPr>
          <w:rFonts w:ascii="Times New Roman" w:hAnsi="Times New Roman" w:cs="Times New Roman"/>
          <w:iCs/>
          <w:sz w:val="24"/>
          <w:szCs w:val="24"/>
        </w:rPr>
        <w:t xml:space="preserve">académicos </w:t>
      </w:r>
      <w:r w:rsidR="0064636F" w:rsidRPr="003E7A82">
        <w:rPr>
          <w:rFonts w:ascii="Times New Roman" w:hAnsi="Times New Roman" w:cs="Times New Roman"/>
          <w:iCs/>
          <w:sz w:val="24"/>
          <w:szCs w:val="24"/>
        </w:rPr>
        <w:t>de formación</w:t>
      </w:r>
      <w:r w:rsidR="007A2F36" w:rsidRPr="003E7A82">
        <w:rPr>
          <w:rFonts w:ascii="Times New Roman" w:hAnsi="Times New Roman" w:cs="Times New Roman"/>
          <w:iCs/>
          <w:sz w:val="24"/>
          <w:szCs w:val="24"/>
        </w:rPr>
        <w:t xml:space="preserve"> educativa en cuanto a su metodología e i</w:t>
      </w:r>
      <w:r w:rsidR="002B6A4A" w:rsidRPr="003E7A82">
        <w:rPr>
          <w:rFonts w:ascii="Times New Roman" w:hAnsi="Times New Roman" w:cs="Times New Roman"/>
          <w:iCs/>
          <w:sz w:val="24"/>
          <w:szCs w:val="24"/>
        </w:rPr>
        <w:t>n</w:t>
      </w:r>
      <w:r w:rsidR="007A2F36" w:rsidRPr="003E7A82">
        <w:rPr>
          <w:rFonts w:ascii="Times New Roman" w:hAnsi="Times New Roman" w:cs="Times New Roman"/>
          <w:iCs/>
          <w:sz w:val="24"/>
          <w:szCs w:val="24"/>
        </w:rPr>
        <w:t>novación</w:t>
      </w:r>
      <w:r w:rsidR="00842C26" w:rsidRPr="003E7A82">
        <w:rPr>
          <w:rFonts w:ascii="Times New Roman" w:hAnsi="Times New Roman" w:cs="Times New Roman"/>
          <w:iCs/>
          <w:sz w:val="24"/>
          <w:szCs w:val="24"/>
        </w:rPr>
        <w:t>. E</w:t>
      </w:r>
      <w:r w:rsidR="00375D37" w:rsidRPr="003E7A82">
        <w:rPr>
          <w:rFonts w:ascii="Times New Roman" w:hAnsi="Times New Roman" w:cs="Times New Roman"/>
          <w:iCs/>
          <w:sz w:val="24"/>
          <w:szCs w:val="24"/>
        </w:rPr>
        <w:t>n otras palabras</w:t>
      </w:r>
      <w:r w:rsidR="00842C26" w:rsidRPr="003E7A82">
        <w:rPr>
          <w:rFonts w:ascii="Times New Roman" w:hAnsi="Times New Roman" w:cs="Times New Roman"/>
          <w:iCs/>
          <w:sz w:val="24"/>
          <w:szCs w:val="24"/>
        </w:rPr>
        <w:t xml:space="preserve">, </w:t>
      </w:r>
      <w:r w:rsidR="00CF5A9F" w:rsidRPr="003E7A82">
        <w:rPr>
          <w:rFonts w:ascii="Times New Roman" w:hAnsi="Times New Roman" w:cs="Times New Roman"/>
          <w:iCs/>
          <w:sz w:val="24"/>
          <w:szCs w:val="24"/>
        </w:rPr>
        <w:t xml:space="preserve">enfocar con objetivos definidos </w:t>
      </w:r>
      <w:r w:rsidR="00842C26" w:rsidRPr="003E7A82">
        <w:rPr>
          <w:rFonts w:ascii="Times New Roman" w:hAnsi="Times New Roman" w:cs="Times New Roman"/>
          <w:iCs/>
          <w:sz w:val="24"/>
          <w:szCs w:val="24"/>
        </w:rPr>
        <w:t>la</w:t>
      </w:r>
      <w:r w:rsidR="00CF5A9F" w:rsidRPr="003E7A82">
        <w:rPr>
          <w:rFonts w:ascii="Times New Roman" w:hAnsi="Times New Roman" w:cs="Times New Roman"/>
          <w:iCs/>
          <w:sz w:val="24"/>
          <w:szCs w:val="24"/>
        </w:rPr>
        <w:t xml:space="preserve"> </w:t>
      </w:r>
      <w:r w:rsidR="00842C26" w:rsidRPr="003E7A82">
        <w:rPr>
          <w:rFonts w:ascii="Times New Roman" w:hAnsi="Times New Roman" w:cs="Times New Roman"/>
          <w:iCs/>
          <w:sz w:val="24"/>
          <w:szCs w:val="24"/>
        </w:rPr>
        <w:t>relación entre la educación superior y el mercado laboral</w:t>
      </w:r>
      <w:r w:rsidR="006470F2" w:rsidRPr="003E7A82">
        <w:rPr>
          <w:rFonts w:ascii="Times New Roman" w:hAnsi="Times New Roman" w:cs="Times New Roman"/>
          <w:iCs/>
          <w:sz w:val="24"/>
          <w:szCs w:val="24"/>
        </w:rPr>
        <w:t xml:space="preserve">, es decir </w:t>
      </w:r>
      <w:r w:rsidR="002B6A4A" w:rsidRPr="003E7A82">
        <w:rPr>
          <w:rFonts w:ascii="Times New Roman" w:hAnsi="Times New Roman" w:cs="Times New Roman"/>
          <w:iCs/>
          <w:sz w:val="24"/>
          <w:szCs w:val="24"/>
        </w:rPr>
        <w:t>su</w:t>
      </w:r>
      <w:r w:rsidR="006470F2" w:rsidRPr="003E7A82">
        <w:rPr>
          <w:rFonts w:ascii="Times New Roman" w:hAnsi="Times New Roman" w:cs="Times New Roman"/>
          <w:iCs/>
          <w:sz w:val="24"/>
          <w:szCs w:val="24"/>
        </w:rPr>
        <w:t xml:space="preserve"> compromiso social.</w:t>
      </w:r>
    </w:p>
    <w:p w14:paraId="36BAC443" w14:textId="77777777" w:rsidR="003470F9" w:rsidRPr="003E7A82" w:rsidRDefault="003470F9" w:rsidP="00E77F98">
      <w:pPr>
        <w:spacing w:before="40" w:after="40" w:line="360" w:lineRule="auto"/>
        <w:jc w:val="both"/>
        <w:rPr>
          <w:rFonts w:ascii="Times New Roman" w:hAnsi="Times New Roman" w:cs="Times New Roman"/>
          <w:iCs/>
          <w:sz w:val="24"/>
          <w:szCs w:val="24"/>
        </w:rPr>
      </w:pPr>
    </w:p>
    <w:p w14:paraId="6EE71C84" w14:textId="79BA738B" w:rsidR="00FC0B47" w:rsidRPr="003E7A82" w:rsidRDefault="00FC0B47" w:rsidP="00E77F98">
      <w:pPr>
        <w:tabs>
          <w:tab w:val="left" w:pos="284"/>
        </w:tabs>
        <w:spacing w:before="40" w:after="40" w:line="360" w:lineRule="auto"/>
        <w:jc w:val="center"/>
        <w:rPr>
          <w:rFonts w:ascii="Times New Roman" w:hAnsi="Times New Roman" w:cs="Times New Roman"/>
          <w:b/>
          <w:sz w:val="28"/>
          <w:szCs w:val="28"/>
        </w:rPr>
      </w:pPr>
      <w:r w:rsidRPr="003E7A82">
        <w:rPr>
          <w:rFonts w:ascii="Times New Roman" w:hAnsi="Times New Roman" w:cs="Times New Roman"/>
          <w:b/>
          <w:sz w:val="28"/>
          <w:szCs w:val="28"/>
        </w:rPr>
        <w:t xml:space="preserve">Futuras líneas de </w:t>
      </w:r>
      <w:r w:rsidR="0030114F" w:rsidRPr="003E7A82">
        <w:rPr>
          <w:rFonts w:ascii="Times New Roman" w:hAnsi="Times New Roman" w:cs="Times New Roman"/>
          <w:b/>
          <w:sz w:val="28"/>
          <w:szCs w:val="28"/>
        </w:rPr>
        <w:t>i</w:t>
      </w:r>
      <w:r w:rsidRPr="003E7A82">
        <w:rPr>
          <w:rFonts w:ascii="Times New Roman" w:hAnsi="Times New Roman" w:cs="Times New Roman"/>
          <w:b/>
          <w:sz w:val="28"/>
          <w:szCs w:val="28"/>
        </w:rPr>
        <w:t>nvestigación</w:t>
      </w:r>
    </w:p>
    <w:p w14:paraId="38AE6AC7" w14:textId="3C805677" w:rsidR="0061567A" w:rsidRPr="003E7A82" w:rsidRDefault="001E113D"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Son</w:t>
      </w:r>
      <w:r w:rsidR="006915CA" w:rsidRPr="003E7A82">
        <w:rPr>
          <w:rFonts w:ascii="Times New Roman" w:hAnsi="Times New Roman" w:cs="Times New Roman"/>
          <w:sz w:val="24"/>
          <w:szCs w:val="24"/>
        </w:rPr>
        <w:t xml:space="preserve"> diversas </w:t>
      </w:r>
      <w:r w:rsidRPr="003E7A82">
        <w:rPr>
          <w:rFonts w:ascii="Times New Roman" w:hAnsi="Times New Roman" w:cs="Times New Roman"/>
          <w:sz w:val="24"/>
          <w:szCs w:val="24"/>
        </w:rPr>
        <w:t>las áreas de oportunidad</w:t>
      </w:r>
      <w:r w:rsidR="006915CA" w:rsidRPr="003E7A82">
        <w:rPr>
          <w:rFonts w:ascii="Times New Roman" w:hAnsi="Times New Roman" w:cs="Times New Roman"/>
          <w:sz w:val="24"/>
          <w:szCs w:val="24"/>
        </w:rPr>
        <w:t xml:space="preserve"> para continuar la investigación en lo que respecta a la internacionalización de la educación superior</w:t>
      </w:r>
      <w:r w:rsidR="0061567A" w:rsidRPr="003E7A82">
        <w:rPr>
          <w:rFonts w:ascii="Times New Roman" w:hAnsi="Times New Roman" w:cs="Times New Roman"/>
          <w:sz w:val="24"/>
          <w:szCs w:val="24"/>
        </w:rPr>
        <w:t xml:space="preserve"> en atención al compromiso social</w:t>
      </w:r>
      <w:r w:rsidR="00081A3D" w:rsidRPr="003E7A82">
        <w:rPr>
          <w:rFonts w:ascii="Times New Roman" w:hAnsi="Times New Roman" w:cs="Times New Roman"/>
          <w:sz w:val="24"/>
          <w:szCs w:val="24"/>
        </w:rPr>
        <w:t xml:space="preserve"> que esta tiene con México. P</w:t>
      </w:r>
      <w:r w:rsidR="0061567A" w:rsidRPr="003E7A82">
        <w:rPr>
          <w:rFonts w:ascii="Times New Roman" w:hAnsi="Times New Roman" w:cs="Times New Roman"/>
          <w:sz w:val="24"/>
          <w:szCs w:val="24"/>
        </w:rPr>
        <w:t>articular</w:t>
      </w:r>
      <w:r w:rsidR="00081A3D" w:rsidRPr="003E7A82">
        <w:rPr>
          <w:rFonts w:ascii="Times New Roman" w:hAnsi="Times New Roman" w:cs="Times New Roman"/>
          <w:sz w:val="24"/>
          <w:szCs w:val="24"/>
        </w:rPr>
        <w:t>mente</w:t>
      </w:r>
      <w:r w:rsidR="00D04816" w:rsidRPr="003E7A82">
        <w:rPr>
          <w:rFonts w:ascii="Times New Roman" w:hAnsi="Times New Roman" w:cs="Times New Roman"/>
          <w:sz w:val="24"/>
          <w:szCs w:val="24"/>
        </w:rPr>
        <w:t xml:space="preserve"> se pueden observa</w:t>
      </w:r>
      <w:r w:rsidR="0061567A" w:rsidRPr="003E7A82">
        <w:rPr>
          <w:rFonts w:ascii="Times New Roman" w:hAnsi="Times New Roman" w:cs="Times New Roman"/>
          <w:sz w:val="24"/>
          <w:szCs w:val="24"/>
        </w:rPr>
        <w:t>r las siguientes:</w:t>
      </w:r>
    </w:p>
    <w:p w14:paraId="710676F2" w14:textId="4C687806" w:rsidR="004E0F9D" w:rsidRPr="003E7A82" w:rsidRDefault="002F1E65" w:rsidP="00E77F98">
      <w:pPr>
        <w:pStyle w:val="Prrafodelista"/>
        <w:numPr>
          <w:ilvl w:val="0"/>
          <w:numId w:val="8"/>
        </w:numPr>
        <w:tabs>
          <w:tab w:val="left" w:pos="284"/>
        </w:tabs>
        <w:spacing w:before="40" w:after="40" w:line="360" w:lineRule="auto"/>
        <w:ind w:left="284" w:hanging="142"/>
        <w:jc w:val="both"/>
        <w:rPr>
          <w:rFonts w:ascii="Times New Roman" w:hAnsi="Times New Roman" w:cs="Times New Roman"/>
          <w:sz w:val="24"/>
          <w:szCs w:val="24"/>
        </w:rPr>
      </w:pPr>
      <w:r w:rsidRPr="003E7A82">
        <w:rPr>
          <w:rFonts w:ascii="Times New Roman" w:hAnsi="Times New Roman" w:cs="Times New Roman"/>
          <w:sz w:val="24"/>
          <w:szCs w:val="24"/>
        </w:rPr>
        <w:t>Adecuar</w:t>
      </w:r>
      <w:r w:rsidR="00336F93" w:rsidRPr="003E7A82">
        <w:rPr>
          <w:rFonts w:ascii="Times New Roman" w:hAnsi="Times New Roman" w:cs="Times New Roman"/>
          <w:sz w:val="24"/>
          <w:szCs w:val="24"/>
        </w:rPr>
        <w:t xml:space="preserve"> </w:t>
      </w:r>
      <w:r w:rsidR="004F7E62" w:rsidRPr="003E7A82">
        <w:rPr>
          <w:rFonts w:ascii="Times New Roman" w:hAnsi="Times New Roman" w:cs="Times New Roman"/>
          <w:sz w:val="24"/>
          <w:szCs w:val="24"/>
        </w:rPr>
        <w:t xml:space="preserve">mecanismos de seguimiento de la demanda de los </w:t>
      </w:r>
      <w:r w:rsidR="00944FCA" w:rsidRPr="003E7A82">
        <w:rPr>
          <w:rFonts w:ascii="Times New Roman" w:hAnsi="Times New Roman" w:cs="Times New Roman"/>
          <w:sz w:val="24"/>
          <w:szCs w:val="24"/>
        </w:rPr>
        <w:t xml:space="preserve">programas de educación superior, </w:t>
      </w:r>
      <w:r w:rsidR="0076037F" w:rsidRPr="003E7A82">
        <w:rPr>
          <w:rFonts w:ascii="Times New Roman" w:hAnsi="Times New Roman" w:cs="Times New Roman"/>
          <w:sz w:val="24"/>
          <w:szCs w:val="24"/>
        </w:rPr>
        <w:t xml:space="preserve">impartidos tanto por el sector público como </w:t>
      </w:r>
      <w:r w:rsidR="00B3063A" w:rsidRPr="003E7A82">
        <w:rPr>
          <w:rFonts w:ascii="Times New Roman" w:hAnsi="Times New Roman" w:cs="Times New Roman"/>
          <w:sz w:val="24"/>
          <w:szCs w:val="24"/>
        </w:rPr>
        <w:t>por</w:t>
      </w:r>
      <w:r w:rsidR="00DC4BF7" w:rsidRPr="003E7A82">
        <w:rPr>
          <w:rFonts w:ascii="Times New Roman" w:hAnsi="Times New Roman" w:cs="Times New Roman"/>
          <w:sz w:val="24"/>
          <w:szCs w:val="24"/>
        </w:rPr>
        <w:t xml:space="preserve"> </w:t>
      </w:r>
      <w:r w:rsidR="0076037F" w:rsidRPr="003E7A82">
        <w:rPr>
          <w:rFonts w:ascii="Times New Roman" w:hAnsi="Times New Roman" w:cs="Times New Roman"/>
          <w:sz w:val="24"/>
          <w:szCs w:val="24"/>
        </w:rPr>
        <w:t>el privado</w:t>
      </w:r>
      <w:r w:rsidR="00ED724D" w:rsidRPr="003E7A82">
        <w:rPr>
          <w:rFonts w:ascii="Times New Roman" w:hAnsi="Times New Roman" w:cs="Times New Roman"/>
          <w:sz w:val="24"/>
          <w:szCs w:val="24"/>
        </w:rPr>
        <w:t>, respecto a los</w:t>
      </w:r>
      <w:r w:rsidR="004F7E62" w:rsidRPr="003E7A82">
        <w:rPr>
          <w:rFonts w:ascii="Times New Roman" w:hAnsi="Times New Roman" w:cs="Times New Roman"/>
          <w:sz w:val="24"/>
          <w:szCs w:val="24"/>
        </w:rPr>
        <w:t xml:space="preserve"> identificados</w:t>
      </w:r>
      <w:r w:rsidR="00C520FC" w:rsidRPr="003E7A82">
        <w:rPr>
          <w:rFonts w:ascii="Times New Roman" w:hAnsi="Times New Roman" w:cs="Times New Roman"/>
          <w:sz w:val="24"/>
          <w:szCs w:val="24"/>
        </w:rPr>
        <w:t xml:space="preserve"> </w:t>
      </w:r>
      <w:r w:rsidR="00491DFF" w:rsidRPr="003E7A82">
        <w:rPr>
          <w:rFonts w:ascii="Times New Roman" w:hAnsi="Times New Roman" w:cs="Times New Roman"/>
          <w:sz w:val="24"/>
          <w:szCs w:val="24"/>
        </w:rPr>
        <w:t xml:space="preserve">en </w:t>
      </w:r>
      <w:r w:rsidR="00B3063A" w:rsidRPr="003E7A82">
        <w:rPr>
          <w:rFonts w:ascii="Times New Roman" w:hAnsi="Times New Roman" w:cs="Times New Roman"/>
          <w:sz w:val="24"/>
          <w:szCs w:val="24"/>
        </w:rPr>
        <w:t>el presente</w:t>
      </w:r>
      <w:r w:rsidR="00491DFF" w:rsidRPr="003E7A82">
        <w:rPr>
          <w:rFonts w:ascii="Times New Roman" w:hAnsi="Times New Roman" w:cs="Times New Roman"/>
          <w:sz w:val="24"/>
          <w:szCs w:val="24"/>
        </w:rPr>
        <w:t xml:space="preserve"> documento (</w:t>
      </w:r>
      <w:r w:rsidR="00A23DA3" w:rsidRPr="003E7A82">
        <w:rPr>
          <w:rFonts w:ascii="Times New Roman" w:hAnsi="Times New Roman" w:cs="Times New Roman"/>
          <w:sz w:val="24"/>
          <w:szCs w:val="24"/>
        </w:rPr>
        <w:t xml:space="preserve">relativos a temáticas sobresalientes como las del </w:t>
      </w:r>
      <w:r w:rsidR="00491DFF" w:rsidRPr="003E7A82">
        <w:rPr>
          <w:rFonts w:ascii="Times New Roman" w:hAnsi="Times New Roman" w:cs="Times New Roman"/>
          <w:sz w:val="24"/>
          <w:szCs w:val="24"/>
        </w:rPr>
        <w:t xml:space="preserve">medio ambiente, </w:t>
      </w:r>
      <w:r w:rsidR="00A23DA3" w:rsidRPr="003E7A82">
        <w:rPr>
          <w:rFonts w:ascii="Times New Roman" w:hAnsi="Times New Roman" w:cs="Times New Roman"/>
          <w:sz w:val="24"/>
          <w:szCs w:val="24"/>
        </w:rPr>
        <w:t xml:space="preserve">la </w:t>
      </w:r>
      <w:r w:rsidR="00491DFF" w:rsidRPr="003E7A82">
        <w:rPr>
          <w:rFonts w:ascii="Times New Roman" w:hAnsi="Times New Roman" w:cs="Times New Roman"/>
          <w:sz w:val="24"/>
          <w:szCs w:val="24"/>
        </w:rPr>
        <w:t xml:space="preserve">pobreza, </w:t>
      </w:r>
      <w:r w:rsidR="00A23DA3" w:rsidRPr="003E7A82">
        <w:rPr>
          <w:rFonts w:ascii="Times New Roman" w:hAnsi="Times New Roman" w:cs="Times New Roman"/>
          <w:sz w:val="24"/>
          <w:szCs w:val="24"/>
        </w:rPr>
        <w:t xml:space="preserve">la </w:t>
      </w:r>
      <w:r w:rsidR="00491DFF" w:rsidRPr="003E7A82">
        <w:rPr>
          <w:rFonts w:ascii="Times New Roman" w:hAnsi="Times New Roman" w:cs="Times New Roman"/>
          <w:sz w:val="24"/>
          <w:szCs w:val="24"/>
        </w:rPr>
        <w:t xml:space="preserve">desigualdad de </w:t>
      </w:r>
      <w:r w:rsidR="00D32B98" w:rsidRPr="003E7A82">
        <w:rPr>
          <w:rFonts w:ascii="Times New Roman" w:hAnsi="Times New Roman" w:cs="Times New Roman"/>
          <w:sz w:val="24"/>
          <w:szCs w:val="24"/>
        </w:rPr>
        <w:t xml:space="preserve">los </w:t>
      </w:r>
      <w:r w:rsidR="00491DFF" w:rsidRPr="003E7A82">
        <w:rPr>
          <w:rFonts w:ascii="Times New Roman" w:hAnsi="Times New Roman" w:cs="Times New Roman"/>
          <w:sz w:val="24"/>
          <w:szCs w:val="24"/>
        </w:rPr>
        <w:t xml:space="preserve">ingresos, </w:t>
      </w:r>
      <w:r w:rsidR="00A23DA3" w:rsidRPr="003E7A82">
        <w:rPr>
          <w:rFonts w:ascii="Times New Roman" w:hAnsi="Times New Roman" w:cs="Times New Roman"/>
          <w:sz w:val="24"/>
          <w:szCs w:val="24"/>
        </w:rPr>
        <w:t xml:space="preserve">la </w:t>
      </w:r>
      <w:r w:rsidR="00491DFF" w:rsidRPr="003E7A82">
        <w:rPr>
          <w:rFonts w:ascii="Times New Roman" w:hAnsi="Times New Roman" w:cs="Times New Roman"/>
          <w:sz w:val="24"/>
          <w:szCs w:val="24"/>
        </w:rPr>
        <w:t xml:space="preserve">atención de </w:t>
      </w:r>
      <w:r w:rsidR="00A23DA3" w:rsidRPr="003E7A82">
        <w:rPr>
          <w:rFonts w:ascii="Times New Roman" w:hAnsi="Times New Roman" w:cs="Times New Roman"/>
          <w:sz w:val="24"/>
          <w:szCs w:val="24"/>
        </w:rPr>
        <w:t xml:space="preserve">la </w:t>
      </w:r>
      <w:r w:rsidR="00491DFF" w:rsidRPr="003E7A82">
        <w:rPr>
          <w:rFonts w:ascii="Times New Roman" w:hAnsi="Times New Roman" w:cs="Times New Roman"/>
          <w:sz w:val="24"/>
          <w:szCs w:val="24"/>
        </w:rPr>
        <w:t xml:space="preserve">salud, </w:t>
      </w:r>
      <w:r w:rsidR="00A23DA3" w:rsidRPr="003E7A82">
        <w:rPr>
          <w:rFonts w:ascii="Times New Roman" w:hAnsi="Times New Roman" w:cs="Times New Roman"/>
          <w:sz w:val="24"/>
          <w:szCs w:val="24"/>
        </w:rPr>
        <w:t xml:space="preserve">el </w:t>
      </w:r>
      <w:r w:rsidR="00491DFF" w:rsidRPr="003E7A82">
        <w:rPr>
          <w:rFonts w:ascii="Times New Roman" w:hAnsi="Times New Roman" w:cs="Times New Roman"/>
          <w:sz w:val="24"/>
          <w:szCs w:val="24"/>
        </w:rPr>
        <w:t xml:space="preserve">hambre, </w:t>
      </w:r>
      <w:r w:rsidR="00A23DA3" w:rsidRPr="003E7A82">
        <w:rPr>
          <w:rFonts w:ascii="Times New Roman" w:hAnsi="Times New Roman" w:cs="Times New Roman"/>
          <w:sz w:val="24"/>
          <w:szCs w:val="24"/>
        </w:rPr>
        <w:t xml:space="preserve">la </w:t>
      </w:r>
      <w:r w:rsidR="00491DFF" w:rsidRPr="003E7A82">
        <w:rPr>
          <w:rFonts w:ascii="Times New Roman" w:hAnsi="Times New Roman" w:cs="Times New Roman"/>
          <w:sz w:val="24"/>
          <w:szCs w:val="24"/>
        </w:rPr>
        <w:t xml:space="preserve">desnutrición y </w:t>
      </w:r>
      <w:r w:rsidR="00A23DA3" w:rsidRPr="003E7A82">
        <w:rPr>
          <w:rFonts w:ascii="Times New Roman" w:hAnsi="Times New Roman" w:cs="Times New Roman"/>
          <w:sz w:val="24"/>
          <w:szCs w:val="24"/>
        </w:rPr>
        <w:t xml:space="preserve">el </w:t>
      </w:r>
      <w:r w:rsidR="00491DFF" w:rsidRPr="003E7A82">
        <w:rPr>
          <w:rFonts w:ascii="Times New Roman" w:hAnsi="Times New Roman" w:cs="Times New Roman"/>
          <w:sz w:val="24"/>
          <w:szCs w:val="24"/>
        </w:rPr>
        <w:t>analfabetismo</w:t>
      </w:r>
      <w:r w:rsidR="004E0F9D" w:rsidRPr="003E7A82">
        <w:rPr>
          <w:rFonts w:ascii="Times New Roman" w:hAnsi="Times New Roman" w:cs="Times New Roman"/>
          <w:sz w:val="24"/>
          <w:szCs w:val="24"/>
        </w:rPr>
        <w:t>)</w:t>
      </w:r>
      <w:r w:rsidR="00450BCC" w:rsidRPr="003E7A82">
        <w:rPr>
          <w:rFonts w:ascii="Times New Roman" w:hAnsi="Times New Roman" w:cs="Times New Roman"/>
          <w:sz w:val="24"/>
          <w:szCs w:val="24"/>
        </w:rPr>
        <w:t>.</w:t>
      </w:r>
    </w:p>
    <w:p w14:paraId="3B59F3F4" w14:textId="7567597A" w:rsidR="00CB39A8" w:rsidRPr="003E7A82" w:rsidRDefault="004E0F9D" w:rsidP="00E77F98">
      <w:pPr>
        <w:pStyle w:val="Prrafodelista"/>
        <w:numPr>
          <w:ilvl w:val="0"/>
          <w:numId w:val="8"/>
        </w:numPr>
        <w:tabs>
          <w:tab w:val="left" w:pos="284"/>
        </w:tabs>
        <w:spacing w:before="40" w:after="40" w:line="360" w:lineRule="auto"/>
        <w:ind w:left="284" w:hanging="142"/>
        <w:jc w:val="both"/>
        <w:rPr>
          <w:rFonts w:ascii="Times New Roman" w:hAnsi="Times New Roman" w:cs="Times New Roman"/>
          <w:i/>
          <w:iCs/>
          <w:sz w:val="24"/>
          <w:szCs w:val="24"/>
        </w:rPr>
      </w:pPr>
      <w:r w:rsidRPr="003E7A82">
        <w:rPr>
          <w:rFonts w:ascii="Times New Roman" w:hAnsi="Times New Roman" w:cs="Times New Roman"/>
          <w:sz w:val="24"/>
          <w:szCs w:val="24"/>
        </w:rPr>
        <w:t xml:space="preserve">Habilitar foros de discusión y </w:t>
      </w:r>
      <w:r w:rsidR="00DE7220" w:rsidRPr="003E7A82">
        <w:rPr>
          <w:rFonts w:ascii="Times New Roman" w:hAnsi="Times New Roman" w:cs="Times New Roman"/>
          <w:sz w:val="24"/>
          <w:szCs w:val="24"/>
        </w:rPr>
        <w:t>de definición para la atención de</w:t>
      </w:r>
      <w:r w:rsidRPr="003E7A82">
        <w:rPr>
          <w:rFonts w:ascii="Times New Roman" w:hAnsi="Times New Roman" w:cs="Times New Roman"/>
          <w:sz w:val="24"/>
          <w:szCs w:val="24"/>
        </w:rPr>
        <w:t xml:space="preserve"> problemáticas derivadas de </w:t>
      </w:r>
      <w:r w:rsidR="00CB39A8" w:rsidRPr="003E7A82">
        <w:rPr>
          <w:rFonts w:ascii="Times New Roman" w:hAnsi="Times New Roman" w:cs="Times New Roman"/>
          <w:sz w:val="24"/>
          <w:szCs w:val="24"/>
        </w:rPr>
        <w:t xml:space="preserve">conceptos tales como </w:t>
      </w:r>
      <w:proofErr w:type="spellStart"/>
      <w:r w:rsidR="002E6F2F" w:rsidRPr="003E7A82">
        <w:rPr>
          <w:rFonts w:ascii="Times New Roman" w:hAnsi="Times New Roman" w:cs="Times New Roman"/>
          <w:i/>
          <w:sz w:val="24"/>
          <w:szCs w:val="24"/>
        </w:rPr>
        <w:t>near</w:t>
      </w:r>
      <w:r w:rsidR="00CB39A8" w:rsidRPr="003E7A82">
        <w:rPr>
          <w:rFonts w:ascii="Times New Roman" w:hAnsi="Times New Roman" w:cs="Times New Roman"/>
          <w:i/>
          <w:sz w:val="24"/>
          <w:szCs w:val="24"/>
        </w:rPr>
        <w:t>shoring</w:t>
      </w:r>
      <w:proofErr w:type="spellEnd"/>
      <w:r w:rsidR="00CB39A8" w:rsidRPr="003E7A82">
        <w:rPr>
          <w:rFonts w:ascii="Times New Roman" w:hAnsi="Times New Roman" w:cs="Times New Roman"/>
          <w:sz w:val="24"/>
          <w:szCs w:val="24"/>
        </w:rPr>
        <w:t xml:space="preserve"> e impacto del bono demográfico</w:t>
      </w:r>
      <w:r w:rsidR="00726134" w:rsidRPr="003E7A82">
        <w:rPr>
          <w:rFonts w:ascii="Times New Roman" w:hAnsi="Times New Roman" w:cs="Times New Roman"/>
          <w:sz w:val="24"/>
          <w:szCs w:val="24"/>
        </w:rPr>
        <w:t xml:space="preserve">, en cuanto a los cambios </w:t>
      </w:r>
      <w:r w:rsidR="00AA120D" w:rsidRPr="003E7A82">
        <w:rPr>
          <w:rFonts w:ascii="Times New Roman" w:hAnsi="Times New Roman" w:cs="Times New Roman"/>
          <w:sz w:val="24"/>
          <w:szCs w:val="24"/>
        </w:rPr>
        <w:t xml:space="preserve">poblacionales y de </w:t>
      </w:r>
      <w:r w:rsidR="00DE7220" w:rsidRPr="003E7A82">
        <w:rPr>
          <w:rFonts w:ascii="Times New Roman" w:hAnsi="Times New Roman" w:cs="Times New Roman"/>
          <w:sz w:val="24"/>
          <w:szCs w:val="24"/>
        </w:rPr>
        <w:t xml:space="preserve">los </w:t>
      </w:r>
      <w:r w:rsidR="00AA120D" w:rsidRPr="003E7A82">
        <w:rPr>
          <w:rFonts w:ascii="Times New Roman" w:hAnsi="Times New Roman" w:cs="Times New Roman"/>
          <w:sz w:val="24"/>
          <w:szCs w:val="24"/>
        </w:rPr>
        <w:t>recursos naturales que estos implican para la educación superior</w:t>
      </w:r>
      <w:r w:rsidR="00DE7220" w:rsidRPr="003E7A82">
        <w:rPr>
          <w:rFonts w:ascii="Times New Roman" w:hAnsi="Times New Roman" w:cs="Times New Roman"/>
          <w:sz w:val="24"/>
          <w:szCs w:val="24"/>
        </w:rPr>
        <w:t xml:space="preserve"> bajo los estudios y la investigación llevada a cabo en estos rubros</w:t>
      </w:r>
      <w:r w:rsidR="00E131F3" w:rsidRPr="003E7A82">
        <w:rPr>
          <w:rFonts w:ascii="Times New Roman" w:hAnsi="Times New Roman" w:cs="Times New Roman"/>
          <w:sz w:val="24"/>
          <w:szCs w:val="24"/>
        </w:rPr>
        <w:t>.</w:t>
      </w:r>
      <w:r w:rsidR="00223A90" w:rsidRPr="003E7A82">
        <w:rPr>
          <w:rFonts w:ascii="Times New Roman" w:hAnsi="Times New Roman" w:cs="Times New Roman"/>
          <w:sz w:val="24"/>
          <w:szCs w:val="24"/>
        </w:rPr>
        <w:t xml:space="preserve"> </w:t>
      </w:r>
    </w:p>
    <w:p w14:paraId="379A4A5A" w14:textId="77777777" w:rsidR="00172068" w:rsidRPr="003E7A82" w:rsidRDefault="002F1E65" w:rsidP="00E77F98">
      <w:pPr>
        <w:pStyle w:val="Prrafodelista"/>
        <w:numPr>
          <w:ilvl w:val="0"/>
          <w:numId w:val="8"/>
        </w:numPr>
        <w:tabs>
          <w:tab w:val="left" w:pos="284"/>
        </w:tabs>
        <w:spacing w:before="40" w:after="40" w:line="360" w:lineRule="auto"/>
        <w:ind w:left="284" w:hanging="142"/>
        <w:jc w:val="both"/>
        <w:rPr>
          <w:rFonts w:ascii="Times New Roman" w:hAnsi="Times New Roman" w:cs="Times New Roman"/>
          <w:sz w:val="24"/>
          <w:szCs w:val="24"/>
        </w:rPr>
      </w:pPr>
      <w:r w:rsidRPr="003E7A82">
        <w:rPr>
          <w:rFonts w:ascii="Times New Roman" w:hAnsi="Times New Roman" w:cs="Times New Roman"/>
          <w:sz w:val="24"/>
          <w:szCs w:val="24"/>
        </w:rPr>
        <w:t>A</w:t>
      </w:r>
      <w:r w:rsidR="00710352" w:rsidRPr="003E7A82">
        <w:rPr>
          <w:rFonts w:ascii="Times New Roman" w:hAnsi="Times New Roman" w:cs="Times New Roman"/>
          <w:sz w:val="24"/>
          <w:szCs w:val="24"/>
        </w:rPr>
        <w:t>nalizar la flexibilización o adecuación potencial de los programas de educación superior</w:t>
      </w:r>
      <w:r w:rsidR="00A22109" w:rsidRPr="003E7A82">
        <w:rPr>
          <w:rFonts w:ascii="Times New Roman" w:hAnsi="Times New Roman" w:cs="Times New Roman"/>
          <w:sz w:val="24"/>
          <w:szCs w:val="24"/>
        </w:rPr>
        <w:t xml:space="preserve"> a otros modelos de desarrollo de competencias, tal como el modelo finlandés de formación profesional.</w:t>
      </w:r>
    </w:p>
    <w:p w14:paraId="3C7E4FF0" w14:textId="07735EA0" w:rsidR="00751B31" w:rsidRPr="003E7A82" w:rsidRDefault="00172068" w:rsidP="00E77F98">
      <w:pPr>
        <w:pStyle w:val="Prrafodelista"/>
        <w:numPr>
          <w:ilvl w:val="0"/>
          <w:numId w:val="8"/>
        </w:numPr>
        <w:tabs>
          <w:tab w:val="left" w:pos="284"/>
        </w:tabs>
        <w:spacing w:before="40" w:after="40" w:line="360" w:lineRule="auto"/>
        <w:ind w:left="284" w:hanging="142"/>
        <w:jc w:val="both"/>
        <w:rPr>
          <w:rFonts w:ascii="Times New Roman" w:hAnsi="Times New Roman" w:cs="Times New Roman"/>
          <w:sz w:val="24"/>
          <w:szCs w:val="24"/>
        </w:rPr>
      </w:pPr>
      <w:r w:rsidRPr="003E7A82">
        <w:rPr>
          <w:rFonts w:ascii="Times New Roman" w:hAnsi="Times New Roman" w:cs="Times New Roman"/>
          <w:sz w:val="24"/>
          <w:szCs w:val="24"/>
        </w:rPr>
        <w:t>Ponderar la modificación de planes de estudio y procesos de enseñanza-aprendizaje en la educación básica, media y media superior que influirían directamente en el nivel superior</w:t>
      </w:r>
      <w:r w:rsidR="00D32B98" w:rsidRPr="003E7A82">
        <w:rPr>
          <w:rFonts w:ascii="Times New Roman" w:hAnsi="Times New Roman" w:cs="Times New Roman"/>
          <w:sz w:val="24"/>
          <w:szCs w:val="24"/>
        </w:rPr>
        <w:t>.</w:t>
      </w:r>
    </w:p>
    <w:p w14:paraId="6A0967AE" w14:textId="011E4BD5" w:rsidR="007D68DA" w:rsidRPr="003E7A82" w:rsidRDefault="007D68DA" w:rsidP="00E77F98">
      <w:pPr>
        <w:pStyle w:val="Prrafodelista"/>
        <w:numPr>
          <w:ilvl w:val="0"/>
          <w:numId w:val="8"/>
        </w:numPr>
        <w:tabs>
          <w:tab w:val="left" w:pos="284"/>
        </w:tabs>
        <w:spacing w:before="40" w:after="40" w:line="360" w:lineRule="auto"/>
        <w:ind w:left="284" w:hanging="142"/>
        <w:jc w:val="both"/>
        <w:rPr>
          <w:rFonts w:ascii="Times New Roman" w:hAnsi="Times New Roman" w:cs="Times New Roman"/>
          <w:sz w:val="24"/>
          <w:szCs w:val="24"/>
        </w:rPr>
      </w:pPr>
      <w:r w:rsidRPr="003E7A82">
        <w:rPr>
          <w:rFonts w:ascii="Times New Roman" w:hAnsi="Times New Roman" w:cs="Times New Roman"/>
          <w:sz w:val="24"/>
          <w:szCs w:val="24"/>
        </w:rPr>
        <w:t xml:space="preserve">Reflexionar, comprender y erradicar prácticas corruptivas multidisciplinariamente, en vías de </w:t>
      </w:r>
      <w:r w:rsidR="00ED7CB0" w:rsidRPr="003E7A82">
        <w:rPr>
          <w:rFonts w:ascii="Times New Roman" w:hAnsi="Times New Roman" w:cs="Times New Roman"/>
          <w:sz w:val="24"/>
          <w:szCs w:val="24"/>
        </w:rPr>
        <w:t xml:space="preserve">hacer más </w:t>
      </w:r>
      <w:r w:rsidRPr="003E7A82">
        <w:rPr>
          <w:rFonts w:ascii="Times New Roman" w:hAnsi="Times New Roman" w:cs="Times New Roman"/>
          <w:sz w:val="24"/>
          <w:szCs w:val="24"/>
        </w:rPr>
        <w:t>eficient</w:t>
      </w:r>
      <w:r w:rsidR="00ED7CB0" w:rsidRPr="003E7A82">
        <w:rPr>
          <w:rFonts w:ascii="Times New Roman" w:hAnsi="Times New Roman" w:cs="Times New Roman"/>
          <w:sz w:val="24"/>
          <w:szCs w:val="24"/>
        </w:rPr>
        <w:t>e</w:t>
      </w:r>
      <w:r w:rsidRPr="003E7A82">
        <w:rPr>
          <w:rFonts w:ascii="Times New Roman" w:hAnsi="Times New Roman" w:cs="Times New Roman"/>
          <w:sz w:val="24"/>
          <w:szCs w:val="24"/>
        </w:rPr>
        <w:t xml:space="preserve"> el potencial de las instituciones de educación superior en México.</w:t>
      </w:r>
    </w:p>
    <w:p w14:paraId="6E4F9CFE" w14:textId="77777777" w:rsidR="003470F9" w:rsidRDefault="003470F9" w:rsidP="003470F9">
      <w:pPr>
        <w:spacing w:before="40" w:after="40"/>
        <w:rPr>
          <w:rFonts w:ascii="Times New Roman" w:hAnsi="Times New Roman" w:cs="Times New Roman"/>
          <w:b/>
          <w:sz w:val="32"/>
          <w:szCs w:val="32"/>
        </w:rPr>
      </w:pPr>
    </w:p>
    <w:p w14:paraId="280B23DF" w14:textId="77777777" w:rsidR="003E5EBC" w:rsidRDefault="003E5EBC" w:rsidP="003470F9">
      <w:pPr>
        <w:spacing w:before="40" w:after="40"/>
        <w:rPr>
          <w:rFonts w:ascii="Times New Roman" w:hAnsi="Times New Roman" w:cs="Times New Roman"/>
          <w:b/>
          <w:sz w:val="32"/>
          <w:szCs w:val="32"/>
        </w:rPr>
      </w:pPr>
    </w:p>
    <w:p w14:paraId="1CCF8CB8" w14:textId="77777777" w:rsidR="003E5EBC" w:rsidRDefault="003E5EBC" w:rsidP="003470F9">
      <w:pPr>
        <w:spacing w:before="40" w:after="40"/>
        <w:rPr>
          <w:rFonts w:ascii="Times New Roman" w:hAnsi="Times New Roman" w:cs="Times New Roman"/>
          <w:b/>
          <w:sz w:val="32"/>
          <w:szCs w:val="32"/>
        </w:rPr>
      </w:pPr>
    </w:p>
    <w:p w14:paraId="612BD42C" w14:textId="77777777" w:rsidR="0028689B" w:rsidRDefault="0028689B" w:rsidP="003470F9">
      <w:pPr>
        <w:spacing w:before="40" w:after="40"/>
        <w:rPr>
          <w:rFonts w:ascii="Times New Roman" w:hAnsi="Times New Roman" w:cs="Times New Roman"/>
          <w:b/>
          <w:sz w:val="32"/>
          <w:szCs w:val="32"/>
        </w:rPr>
      </w:pPr>
    </w:p>
    <w:p w14:paraId="28C75C1E" w14:textId="77777777" w:rsidR="0028689B" w:rsidRDefault="0028689B" w:rsidP="003470F9">
      <w:pPr>
        <w:spacing w:before="40" w:after="40"/>
        <w:rPr>
          <w:rFonts w:ascii="Times New Roman" w:hAnsi="Times New Roman" w:cs="Times New Roman"/>
          <w:b/>
          <w:sz w:val="32"/>
          <w:szCs w:val="32"/>
        </w:rPr>
      </w:pPr>
    </w:p>
    <w:p w14:paraId="7251F9AB" w14:textId="36080FB7" w:rsidR="00FC0B47" w:rsidRPr="00CE0131" w:rsidRDefault="00FC0B47" w:rsidP="0028689B">
      <w:pPr>
        <w:spacing w:before="40" w:after="40" w:line="360" w:lineRule="auto"/>
        <w:rPr>
          <w:rFonts w:cstheme="minorHAnsi"/>
          <w:lang w:val="en-GB"/>
        </w:rPr>
      </w:pPr>
      <w:proofErr w:type="spellStart"/>
      <w:r w:rsidRPr="00CE0131">
        <w:rPr>
          <w:rFonts w:cstheme="minorHAnsi"/>
          <w:b/>
          <w:sz w:val="28"/>
          <w:szCs w:val="28"/>
          <w:lang w:val="en-GB"/>
        </w:rPr>
        <w:t>Referencias</w:t>
      </w:r>
      <w:proofErr w:type="spellEnd"/>
    </w:p>
    <w:p w14:paraId="11C419A6" w14:textId="3BC1DB97" w:rsidR="009A669C" w:rsidRPr="003E7A82" w:rsidRDefault="009A669C" w:rsidP="002C50B4">
      <w:pPr>
        <w:spacing w:before="40" w:after="40" w:line="360" w:lineRule="auto"/>
        <w:ind w:left="993" w:hanging="993"/>
        <w:jc w:val="both"/>
        <w:rPr>
          <w:rFonts w:ascii="Times New Roman" w:hAnsi="Times New Roman" w:cs="Times New Roman"/>
          <w:iCs/>
          <w:sz w:val="24"/>
          <w:szCs w:val="24"/>
        </w:rPr>
      </w:pPr>
      <w:proofErr w:type="spellStart"/>
      <w:r w:rsidRPr="00CE0131">
        <w:rPr>
          <w:rFonts w:ascii="Times New Roman" w:hAnsi="Times New Roman" w:cs="Times New Roman"/>
          <w:iCs/>
          <w:sz w:val="24"/>
          <w:szCs w:val="24"/>
          <w:lang w:val="en-GB"/>
        </w:rPr>
        <w:t>Altbach</w:t>
      </w:r>
      <w:proofErr w:type="spellEnd"/>
      <w:r w:rsidRPr="00CE0131">
        <w:rPr>
          <w:rFonts w:ascii="Times New Roman" w:hAnsi="Times New Roman" w:cs="Times New Roman"/>
          <w:iCs/>
          <w:sz w:val="24"/>
          <w:szCs w:val="24"/>
          <w:lang w:val="en-GB"/>
        </w:rPr>
        <w:t>, P</w:t>
      </w:r>
      <w:r w:rsidR="00C37CD1" w:rsidRPr="00CE0131">
        <w:rPr>
          <w:rFonts w:ascii="Times New Roman" w:hAnsi="Times New Roman" w:cs="Times New Roman"/>
          <w:iCs/>
          <w:sz w:val="24"/>
          <w:szCs w:val="24"/>
          <w:lang w:val="en-GB"/>
        </w:rPr>
        <w:t>.</w:t>
      </w:r>
      <w:r w:rsidRPr="00CE0131">
        <w:rPr>
          <w:rFonts w:ascii="Times New Roman" w:hAnsi="Times New Roman" w:cs="Times New Roman"/>
          <w:iCs/>
          <w:sz w:val="24"/>
          <w:szCs w:val="24"/>
          <w:lang w:val="en-GB"/>
        </w:rPr>
        <w:t xml:space="preserve"> G</w:t>
      </w:r>
      <w:r w:rsidR="00C37CD1" w:rsidRPr="00CE0131">
        <w:rPr>
          <w:rFonts w:ascii="Times New Roman" w:hAnsi="Times New Roman" w:cs="Times New Roman"/>
          <w:iCs/>
          <w:sz w:val="24"/>
          <w:szCs w:val="24"/>
          <w:lang w:val="en-GB"/>
        </w:rPr>
        <w:t xml:space="preserve">., de </w:t>
      </w:r>
      <w:r w:rsidRPr="00CE0131">
        <w:rPr>
          <w:rFonts w:ascii="Times New Roman" w:hAnsi="Times New Roman" w:cs="Times New Roman"/>
          <w:iCs/>
          <w:sz w:val="24"/>
          <w:szCs w:val="24"/>
          <w:lang w:val="en-GB"/>
        </w:rPr>
        <w:t>Wit, H</w:t>
      </w:r>
      <w:r w:rsidR="00C37CD1" w:rsidRPr="00CE0131">
        <w:rPr>
          <w:rFonts w:ascii="Times New Roman" w:hAnsi="Times New Roman" w:cs="Times New Roman"/>
          <w:iCs/>
          <w:sz w:val="24"/>
          <w:szCs w:val="24"/>
          <w:lang w:val="en-GB"/>
        </w:rPr>
        <w:t>.</w:t>
      </w:r>
      <w:r w:rsidRPr="00CE0131">
        <w:rPr>
          <w:rFonts w:ascii="Times New Roman" w:hAnsi="Times New Roman" w:cs="Times New Roman"/>
          <w:iCs/>
          <w:sz w:val="24"/>
          <w:szCs w:val="24"/>
          <w:lang w:val="en-GB"/>
        </w:rPr>
        <w:t xml:space="preserve"> </w:t>
      </w:r>
      <w:r w:rsidR="00B1083C" w:rsidRPr="00CE0131">
        <w:rPr>
          <w:rFonts w:ascii="Times New Roman" w:hAnsi="Times New Roman" w:cs="Times New Roman"/>
          <w:iCs/>
          <w:sz w:val="24"/>
          <w:szCs w:val="24"/>
          <w:lang w:val="en-GB"/>
        </w:rPr>
        <w:t>y</w:t>
      </w:r>
      <w:r w:rsidRPr="00CE0131">
        <w:rPr>
          <w:rFonts w:ascii="Times New Roman" w:hAnsi="Times New Roman" w:cs="Times New Roman"/>
          <w:iCs/>
          <w:sz w:val="24"/>
          <w:szCs w:val="24"/>
          <w:lang w:val="en-GB"/>
        </w:rPr>
        <w:t xml:space="preserve"> </w:t>
      </w:r>
      <w:proofErr w:type="spellStart"/>
      <w:r w:rsidRPr="00CE0131">
        <w:rPr>
          <w:rFonts w:ascii="Times New Roman" w:hAnsi="Times New Roman" w:cs="Times New Roman"/>
          <w:iCs/>
          <w:sz w:val="24"/>
          <w:szCs w:val="24"/>
          <w:lang w:val="en-GB"/>
        </w:rPr>
        <w:t>Woldegiyorgis</w:t>
      </w:r>
      <w:proofErr w:type="spellEnd"/>
      <w:r w:rsidR="00B1083C" w:rsidRPr="00CE0131">
        <w:rPr>
          <w:rFonts w:ascii="Times New Roman" w:hAnsi="Times New Roman" w:cs="Times New Roman"/>
          <w:iCs/>
          <w:sz w:val="24"/>
          <w:szCs w:val="24"/>
          <w:lang w:val="en-GB"/>
        </w:rPr>
        <w:t>,</w:t>
      </w:r>
      <w:r w:rsidRPr="00CE0131">
        <w:rPr>
          <w:rFonts w:ascii="Times New Roman" w:hAnsi="Times New Roman" w:cs="Times New Roman"/>
          <w:iCs/>
          <w:sz w:val="24"/>
          <w:szCs w:val="24"/>
          <w:lang w:val="en-GB"/>
        </w:rPr>
        <w:t xml:space="preserve"> A</w:t>
      </w:r>
      <w:r w:rsidR="00C37CD1" w:rsidRPr="00CE0131">
        <w:rPr>
          <w:rFonts w:ascii="Times New Roman" w:hAnsi="Times New Roman" w:cs="Times New Roman"/>
          <w:iCs/>
          <w:sz w:val="24"/>
          <w:szCs w:val="24"/>
          <w:lang w:val="en-GB"/>
        </w:rPr>
        <w:t>.</w:t>
      </w:r>
      <w:r w:rsidRPr="00CE0131">
        <w:rPr>
          <w:rFonts w:ascii="Times New Roman" w:hAnsi="Times New Roman" w:cs="Times New Roman"/>
          <w:iCs/>
          <w:sz w:val="24"/>
          <w:szCs w:val="24"/>
          <w:lang w:val="en-GB"/>
        </w:rPr>
        <w:t xml:space="preserve"> A.</w:t>
      </w:r>
      <w:r w:rsidR="00812AB0" w:rsidRPr="00CE0131">
        <w:rPr>
          <w:rFonts w:ascii="Times New Roman" w:hAnsi="Times New Roman" w:cs="Times New Roman"/>
          <w:iCs/>
          <w:sz w:val="24"/>
          <w:szCs w:val="24"/>
          <w:lang w:val="en-GB"/>
        </w:rPr>
        <w:t xml:space="preserve"> (2021)</w:t>
      </w:r>
      <w:r w:rsidR="00BF4903" w:rsidRPr="00CE0131">
        <w:rPr>
          <w:rFonts w:ascii="Times New Roman" w:hAnsi="Times New Roman" w:cs="Times New Roman"/>
          <w:iCs/>
          <w:sz w:val="24"/>
          <w:szCs w:val="24"/>
          <w:lang w:val="en-GB"/>
        </w:rPr>
        <w:t>.</w:t>
      </w:r>
      <w:r w:rsidRPr="00CE0131">
        <w:rPr>
          <w:rFonts w:ascii="Times New Roman" w:hAnsi="Times New Roman" w:cs="Times New Roman"/>
          <w:iCs/>
          <w:sz w:val="24"/>
          <w:szCs w:val="24"/>
          <w:lang w:val="en-GB"/>
        </w:rPr>
        <w:t xml:space="preserve"> </w:t>
      </w:r>
      <w:r w:rsidRPr="00CE0131">
        <w:rPr>
          <w:rFonts w:ascii="Times New Roman" w:hAnsi="Times New Roman" w:cs="Times New Roman"/>
          <w:i/>
          <w:iCs/>
          <w:sz w:val="24"/>
          <w:szCs w:val="24"/>
          <w:lang w:val="en-GB"/>
        </w:rPr>
        <w:t>Public vs. private participation in higher education: realities and debates</w:t>
      </w:r>
      <w:r w:rsidR="000D4548" w:rsidRPr="00CE0131">
        <w:rPr>
          <w:rFonts w:ascii="Times New Roman" w:hAnsi="Times New Roman" w:cs="Times New Roman"/>
          <w:i/>
          <w:iCs/>
          <w:sz w:val="24"/>
          <w:szCs w:val="24"/>
          <w:lang w:val="en-GB"/>
        </w:rPr>
        <w:t>.</w:t>
      </w:r>
      <w:r w:rsidR="00812AB0" w:rsidRPr="00CE0131">
        <w:rPr>
          <w:rFonts w:ascii="Times New Roman" w:hAnsi="Times New Roman" w:cs="Times New Roman"/>
          <w:iCs/>
          <w:sz w:val="24"/>
          <w:szCs w:val="24"/>
          <w:lang w:val="en-GB"/>
        </w:rPr>
        <w:t xml:space="preserve"> </w:t>
      </w:r>
      <w:r w:rsidR="00AA381F" w:rsidRPr="00E77F98">
        <w:rPr>
          <w:rFonts w:ascii="Times New Roman" w:hAnsi="Times New Roman" w:cs="Times New Roman"/>
          <w:sz w:val="24"/>
          <w:szCs w:val="24"/>
        </w:rPr>
        <w:t xml:space="preserve">UNESDOC, Biblioteca Digital, </w:t>
      </w:r>
      <w:r w:rsidR="00812AB0" w:rsidRPr="00E77F98">
        <w:rPr>
          <w:rFonts w:ascii="Times New Roman" w:hAnsi="Times New Roman" w:cs="Times New Roman"/>
          <w:sz w:val="24"/>
          <w:szCs w:val="24"/>
        </w:rPr>
        <w:t>UNESCO</w:t>
      </w:r>
      <w:r w:rsidR="00067B1A" w:rsidRPr="003E7A82">
        <w:rPr>
          <w:rFonts w:ascii="Times New Roman" w:hAnsi="Times New Roman" w:cs="Times New Roman"/>
          <w:iCs/>
          <w:sz w:val="24"/>
          <w:szCs w:val="24"/>
        </w:rPr>
        <w:t>.</w:t>
      </w:r>
      <w:r w:rsidR="00AA381F" w:rsidRPr="003E7A82">
        <w:t xml:space="preserve"> </w:t>
      </w:r>
      <w:hyperlink r:id="rId12" w:history="1">
        <w:r w:rsidR="003F50E0" w:rsidRPr="003E7A82">
          <w:rPr>
            <w:rStyle w:val="Hipervnculo"/>
            <w:rFonts w:ascii="Times New Roman" w:hAnsi="Times New Roman" w:cs="Times New Roman"/>
            <w:iCs/>
            <w:sz w:val="24"/>
            <w:szCs w:val="24"/>
          </w:rPr>
          <w:t>https://unesdoc.unesco.org/ark:/48223/pf0000380071</w:t>
        </w:r>
      </w:hyperlink>
      <w:r w:rsidR="005E55FF" w:rsidRPr="003E7A82">
        <w:rPr>
          <w:rFonts w:ascii="Times New Roman" w:hAnsi="Times New Roman" w:cs="Times New Roman"/>
          <w:iCs/>
          <w:sz w:val="24"/>
          <w:szCs w:val="24"/>
        </w:rPr>
        <w:t>.</w:t>
      </w:r>
    </w:p>
    <w:p w14:paraId="2B01F837" w14:textId="77777777" w:rsidR="003E7A82" w:rsidRPr="003E7A82" w:rsidRDefault="003E7A82" w:rsidP="003E7A82">
      <w:pPr>
        <w:tabs>
          <w:tab w:val="left" w:pos="284"/>
        </w:tabs>
        <w:spacing w:before="40" w:after="40" w:line="360" w:lineRule="auto"/>
        <w:ind w:left="993" w:hanging="993"/>
        <w:jc w:val="both"/>
        <w:rPr>
          <w:rFonts w:ascii="Times New Roman" w:hAnsi="Times New Roman" w:cs="Times New Roman"/>
          <w:iCs/>
          <w:sz w:val="24"/>
          <w:szCs w:val="24"/>
        </w:rPr>
      </w:pPr>
      <w:bookmarkStart w:id="3" w:name="_Hlk178066262"/>
      <w:r w:rsidRPr="004D6263">
        <w:rPr>
          <w:rFonts w:ascii="Times New Roman" w:hAnsi="Times New Roman" w:cs="Times New Roman"/>
          <w:iCs/>
          <w:sz w:val="24"/>
          <w:szCs w:val="24"/>
        </w:rPr>
        <w:t xml:space="preserve">Asociación Nacional de Universidades e Instituciones de Educación Superior </w:t>
      </w:r>
      <w:bookmarkEnd w:id="3"/>
      <w:r w:rsidRPr="004D6263">
        <w:rPr>
          <w:rFonts w:ascii="Times New Roman" w:hAnsi="Times New Roman" w:cs="Times New Roman"/>
          <w:iCs/>
          <w:sz w:val="24"/>
          <w:szCs w:val="24"/>
        </w:rPr>
        <w:t>(ANUIES).</w:t>
      </w:r>
      <w:r w:rsidRPr="003E7A82">
        <w:rPr>
          <w:rFonts w:ascii="Times New Roman" w:hAnsi="Times New Roman" w:cs="Times New Roman"/>
          <w:iCs/>
          <w:sz w:val="24"/>
          <w:szCs w:val="24"/>
        </w:rPr>
        <w:t xml:space="preserve"> (2018). </w:t>
      </w:r>
      <w:r w:rsidRPr="003E7A82">
        <w:rPr>
          <w:rFonts w:ascii="Times New Roman" w:hAnsi="Times New Roman" w:cs="Times New Roman"/>
          <w:i/>
          <w:sz w:val="24"/>
          <w:szCs w:val="24"/>
        </w:rPr>
        <w:t>Visión y acción 2030. Propuesta de la ANUIES para renovar la educación superior en México. Diseño y concertación de políticas públicas para impulsar el cambio institucional</w:t>
      </w:r>
      <w:r w:rsidRPr="003E7A82">
        <w:rPr>
          <w:rFonts w:ascii="Times New Roman" w:hAnsi="Times New Roman" w:cs="Times New Roman"/>
          <w:iCs/>
          <w:sz w:val="24"/>
          <w:szCs w:val="24"/>
        </w:rPr>
        <w:t xml:space="preserve">. Ciudad de México, México: ANUIES. </w:t>
      </w:r>
      <w:hyperlink r:id="rId13" w:history="1">
        <w:r w:rsidRPr="003E7A82">
          <w:rPr>
            <w:rStyle w:val="Hipervnculo"/>
            <w:rFonts w:ascii="Times New Roman" w:hAnsi="Times New Roman" w:cs="Times New Roman"/>
            <w:iCs/>
            <w:color w:val="auto"/>
            <w:sz w:val="24"/>
            <w:szCs w:val="24"/>
          </w:rPr>
          <w:t>https://visionyaccion2030.anuies.mx/Vision_accion2030.pdf</w:t>
        </w:r>
      </w:hyperlink>
      <w:r w:rsidRPr="003E7A82">
        <w:rPr>
          <w:rFonts w:ascii="Times New Roman" w:hAnsi="Times New Roman" w:cs="Times New Roman"/>
          <w:iCs/>
          <w:sz w:val="24"/>
          <w:szCs w:val="24"/>
        </w:rPr>
        <w:t>.</w:t>
      </w:r>
    </w:p>
    <w:p w14:paraId="169CFDAF" w14:textId="675F04DB" w:rsidR="009306BF" w:rsidRPr="003E7A82" w:rsidRDefault="009306BF" w:rsidP="00E77F98">
      <w:pPr>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Banco Mundial</w:t>
      </w:r>
      <w:r w:rsidR="00067B1A" w:rsidRPr="003E7A82">
        <w:rPr>
          <w:rFonts w:ascii="Times New Roman" w:hAnsi="Times New Roman" w:cs="Times New Roman"/>
          <w:iCs/>
          <w:sz w:val="24"/>
          <w:szCs w:val="24"/>
        </w:rPr>
        <w:t xml:space="preserve"> </w:t>
      </w:r>
      <w:r w:rsidR="000C5764" w:rsidRPr="003E7A82">
        <w:rPr>
          <w:rFonts w:ascii="Times New Roman" w:hAnsi="Times New Roman" w:cs="Times New Roman"/>
          <w:iCs/>
          <w:sz w:val="24"/>
          <w:szCs w:val="24"/>
        </w:rPr>
        <w:t>(</w:t>
      </w:r>
      <w:r w:rsidR="00067B1A" w:rsidRPr="003E7A82">
        <w:rPr>
          <w:rFonts w:ascii="Times New Roman" w:hAnsi="Times New Roman" w:cs="Times New Roman"/>
          <w:iCs/>
          <w:sz w:val="24"/>
          <w:szCs w:val="24"/>
        </w:rPr>
        <w:t>BM</w:t>
      </w:r>
      <w:r w:rsidR="000C5764" w:rsidRPr="003E7A82">
        <w:rPr>
          <w:rFonts w:ascii="Times New Roman" w:hAnsi="Times New Roman" w:cs="Times New Roman"/>
          <w:iCs/>
          <w:sz w:val="24"/>
          <w:szCs w:val="24"/>
        </w:rPr>
        <w:t>)</w:t>
      </w:r>
      <w:r w:rsidR="001042B5"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(2023)</w:t>
      </w:r>
      <w:r w:rsidR="00D15969"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Pr="003E7A82">
        <w:rPr>
          <w:rFonts w:ascii="Times New Roman" w:hAnsi="Times New Roman" w:cs="Times New Roman"/>
          <w:i/>
          <w:sz w:val="24"/>
          <w:szCs w:val="24"/>
        </w:rPr>
        <w:t>México Panorama General</w:t>
      </w:r>
      <w:r w:rsidR="00067B1A"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hyperlink r:id="rId14" w:anchor="2" w:history="1">
        <w:r w:rsidRPr="003E7A82">
          <w:rPr>
            <w:rStyle w:val="Hipervnculo"/>
            <w:rFonts w:ascii="Times New Roman" w:hAnsi="Times New Roman" w:cs="Times New Roman"/>
            <w:iCs/>
            <w:color w:val="auto"/>
            <w:sz w:val="24"/>
            <w:szCs w:val="24"/>
          </w:rPr>
          <w:t>https://www.bancomundial.org/es/country/mexico/overview#2</w:t>
        </w:r>
      </w:hyperlink>
      <w:r w:rsidRPr="003E7A82">
        <w:rPr>
          <w:rFonts w:ascii="Times New Roman" w:hAnsi="Times New Roman" w:cs="Times New Roman"/>
          <w:iCs/>
          <w:sz w:val="24"/>
          <w:szCs w:val="24"/>
        </w:rPr>
        <w:t>.</w:t>
      </w:r>
    </w:p>
    <w:p w14:paraId="591D6FAE" w14:textId="4A77AA9B" w:rsidR="00370F31" w:rsidRPr="003E7A82" w:rsidRDefault="00370F31" w:rsidP="00E77F98">
      <w:pPr>
        <w:spacing w:before="40" w:after="40" w:line="360" w:lineRule="auto"/>
        <w:ind w:left="993" w:hanging="993"/>
        <w:jc w:val="both"/>
        <w:rPr>
          <w:rFonts w:ascii="Times New Roman" w:eastAsia="Times New Roman" w:hAnsi="Times New Roman" w:cs="Times New Roman"/>
          <w:sz w:val="24"/>
          <w:szCs w:val="24"/>
          <w:lang w:eastAsia="es-MX"/>
        </w:rPr>
      </w:pPr>
      <w:r w:rsidRPr="003E7A82">
        <w:rPr>
          <w:rFonts w:ascii="Times New Roman" w:hAnsi="Times New Roman" w:cs="Times New Roman"/>
          <w:iCs/>
          <w:sz w:val="24"/>
          <w:szCs w:val="24"/>
        </w:rPr>
        <w:t>Barajas Anaya, C</w:t>
      </w:r>
      <w:r w:rsidR="00C37CD1" w:rsidRPr="003E7A82">
        <w:rPr>
          <w:rFonts w:ascii="Times New Roman" w:hAnsi="Times New Roman" w:cs="Times New Roman"/>
          <w:iCs/>
          <w:sz w:val="24"/>
          <w:szCs w:val="24"/>
        </w:rPr>
        <w:t>.</w:t>
      </w:r>
      <w:r w:rsidR="008563D2" w:rsidRPr="003E7A82">
        <w:rPr>
          <w:rFonts w:ascii="Times New Roman" w:hAnsi="Times New Roman" w:cs="Times New Roman"/>
          <w:iCs/>
          <w:sz w:val="24"/>
          <w:szCs w:val="24"/>
        </w:rPr>
        <w:t xml:space="preserve"> y</w:t>
      </w:r>
      <w:r w:rsidRPr="003E7A82">
        <w:rPr>
          <w:rFonts w:ascii="Times New Roman" w:hAnsi="Times New Roman" w:cs="Times New Roman"/>
          <w:iCs/>
          <w:sz w:val="24"/>
          <w:szCs w:val="24"/>
        </w:rPr>
        <w:t xml:space="preserve"> Orduz Ardila, A</w:t>
      </w:r>
      <w:r w:rsidR="008563D2"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(2019)</w:t>
      </w:r>
      <w:r w:rsidR="008563D2"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Pr="003E7A82">
        <w:rPr>
          <w:rFonts w:ascii="Times New Roman" w:eastAsia="Times New Roman" w:hAnsi="Times New Roman" w:cs="Times New Roman"/>
          <w:sz w:val="24"/>
          <w:szCs w:val="24"/>
          <w:lang w:eastAsia="es-MX"/>
        </w:rPr>
        <w:t>Gestión del cambio: el nuevo desafío para mejorar la calidad de la educación superior</w:t>
      </w:r>
      <w:r w:rsidR="000776FE"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Pr="003E7A82">
        <w:rPr>
          <w:rFonts w:ascii="Times New Roman" w:eastAsia="Times New Roman" w:hAnsi="Times New Roman" w:cs="Times New Roman"/>
          <w:i/>
          <w:sz w:val="24"/>
          <w:szCs w:val="24"/>
          <w:lang w:eastAsia="es-MX"/>
        </w:rPr>
        <w:t>Revista de Investigación</w:t>
      </w:r>
      <w:r w:rsidRPr="003E7A82">
        <w:rPr>
          <w:rFonts w:ascii="Times New Roman" w:hAnsi="Times New Roman" w:cs="Times New Roman"/>
          <w:i/>
          <w:sz w:val="24"/>
          <w:szCs w:val="24"/>
        </w:rPr>
        <w:t>, 43</w:t>
      </w:r>
      <w:r w:rsidR="00551A2B" w:rsidRPr="003E7A82">
        <w:rPr>
          <w:rFonts w:ascii="Times New Roman" w:hAnsi="Times New Roman" w:cs="Times New Roman"/>
          <w:iCs/>
          <w:sz w:val="24"/>
          <w:szCs w:val="24"/>
        </w:rPr>
        <w:t>(</w:t>
      </w:r>
      <w:r w:rsidRPr="003E7A82">
        <w:rPr>
          <w:rFonts w:ascii="Times New Roman" w:hAnsi="Times New Roman" w:cs="Times New Roman"/>
          <w:iCs/>
          <w:sz w:val="24"/>
          <w:szCs w:val="24"/>
        </w:rPr>
        <w:t>98</w:t>
      </w:r>
      <w:r w:rsidR="00551A2B"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p>
    <w:p w14:paraId="4A783612" w14:textId="70CDA5B3" w:rsidR="009659AE" w:rsidRPr="00AC6AC9" w:rsidRDefault="009659AE" w:rsidP="00E77F98">
      <w:pPr>
        <w:spacing w:before="40" w:after="40" w:line="360" w:lineRule="auto"/>
        <w:ind w:left="993" w:hanging="993"/>
        <w:jc w:val="both"/>
        <w:rPr>
          <w:rFonts w:ascii="Times New Roman" w:hAnsi="Times New Roman" w:cs="Times New Roman"/>
          <w:iCs/>
          <w:sz w:val="24"/>
          <w:szCs w:val="24"/>
          <w:u w:val="single"/>
        </w:rPr>
      </w:pPr>
      <w:r>
        <w:rPr>
          <w:rFonts w:ascii="Times New Roman" w:hAnsi="Times New Roman" w:cs="Times New Roman"/>
          <w:iCs/>
          <w:sz w:val="24"/>
          <w:szCs w:val="24"/>
        </w:rPr>
        <w:t>Barría,</w:t>
      </w:r>
      <w:r w:rsidR="00AC6AC9">
        <w:rPr>
          <w:rFonts w:ascii="Times New Roman" w:hAnsi="Times New Roman" w:cs="Times New Roman"/>
          <w:iCs/>
          <w:sz w:val="24"/>
          <w:szCs w:val="24"/>
        </w:rPr>
        <w:t xml:space="preserve"> Cecilia (2023). </w:t>
      </w:r>
      <w:r w:rsidR="00AC6AC9" w:rsidRPr="00AC6AC9">
        <w:rPr>
          <w:rFonts w:ascii="Times New Roman" w:hAnsi="Times New Roman" w:cs="Times New Roman"/>
          <w:i/>
          <w:sz w:val="24"/>
          <w:szCs w:val="24"/>
        </w:rPr>
        <w:t xml:space="preserve">Tesla llega a México: las ventajas del país para ser el mayor fabricante de autos eléctricos de América Latina (y qué gran obstáculo enfrenta), </w:t>
      </w:r>
      <w:r w:rsidR="00AC6AC9">
        <w:rPr>
          <w:rFonts w:ascii="Times New Roman" w:hAnsi="Times New Roman" w:cs="Times New Roman"/>
          <w:iCs/>
          <w:sz w:val="24"/>
          <w:szCs w:val="24"/>
        </w:rPr>
        <w:t xml:space="preserve">BBC News, </w:t>
      </w:r>
      <w:hyperlink r:id="rId15" w:history="1">
        <w:r w:rsidR="003E2332" w:rsidRPr="00DD17AE">
          <w:rPr>
            <w:rStyle w:val="Hipervnculo"/>
            <w:rFonts w:ascii="Times New Roman" w:hAnsi="Times New Roman" w:cs="Times New Roman"/>
            <w:iCs/>
            <w:sz w:val="24"/>
            <w:szCs w:val="24"/>
          </w:rPr>
          <w:t>https://www.bbc.com/mundo/noticias-america-latina-64819256</w:t>
        </w:r>
      </w:hyperlink>
      <w:r w:rsidR="003E2332">
        <w:rPr>
          <w:rFonts w:ascii="Times New Roman" w:hAnsi="Times New Roman" w:cs="Times New Roman"/>
          <w:iCs/>
          <w:sz w:val="24"/>
          <w:szCs w:val="24"/>
        </w:rPr>
        <w:t xml:space="preserve">. </w:t>
      </w:r>
    </w:p>
    <w:p w14:paraId="2DC93AD1" w14:textId="6FAFE885" w:rsidR="002870E6" w:rsidRPr="003E7A82" w:rsidRDefault="002870E6" w:rsidP="00E77F98">
      <w:pPr>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 xml:space="preserve">Bautista, D. (2021). </w:t>
      </w:r>
      <w:r w:rsidRPr="003E7A82">
        <w:rPr>
          <w:rFonts w:ascii="Times New Roman" w:hAnsi="Times New Roman" w:cs="Times New Roman"/>
          <w:i/>
          <w:iCs/>
          <w:sz w:val="24"/>
          <w:szCs w:val="24"/>
        </w:rPr>
        <w:t>Quinientos años de corrupción en México. ¿Cómo llegamos hasta aquí? ¿Cómo salimos de aquí?</w:t>
      </w:r>
      <w:r w:rsidRPr="003E7A82">
        <w:rPr>
          <w:rFonts w:ascii="Times New Roman" w:hAnsi="Times New Roman" w:cs="Times New Roman"/>
          <w:iCs/>
          <w:sz w:val="24"/>
          <w:szCs w:val="24"/>
        </w:rPr>
        <w:t xml:space="preserve"> </w:t>
      </w:r>
      <w:r w:rsidR="00551A2B" w:rsidRPr="003E7A82">
        <w:rPr>
          <w:rFonts w:ascii="Times New Roman" w:hAnsi="Times New Roman" w:cs="Times New Roman"/>
          <w:iCs/>
          <w:sz w:val="24"/>
          <w:szCs w:val="24"/>
        </w:rPr>
        <w:t xml:space="preserve">Ciudad de México, México: </w:t>
      </w:r>
      <w:r w:rsidRPr="003E7A82">
        <w:rPr>
          <w:rFonts w:ascii="Times New Roman" w:hAnsi="Times New Roman" w:cs="Times New Roman"/>
          <w:iCs/>
          <w:sz w:val="24"/>
          <w:szCs w:val="24"/>
        </w:rPr>
        <w:t>UAEM-Tirant lo Blanch.</w:t>
      </w:r>
    </w:p>
    <w:p w14:paraId="1F273061" w14:textId="251477C5" w:rsidR="00582738" w:rsidRPr="006053F1" w:rsidRDefault="00582738" w:rsidP="00E77F98">
      <w:pPr>
        <w:spacing w:before="40" w:after="40" w:line="360" w:lineRule="auto"/>
        <w:ind w:left="993" w:hanging="993"/>
        <w:jc w:val="both"/>
        <w:rPr>
          <w:rFonts w:ascii="Times New Roman" w:hAnsi="Times New Roman" w:cs="Times New Roman"/>
          <w:iCs/>
          <w:sz w:val="24"/>
          <w:szCs w:val="24"/>
          <w:lang w:val="en-GB"/>
        </w:rPr>
      </w:pPr>
      <w:proofErr w:type="spellStart"/>
      <w:r w:rsidRPr="003E7A82">
        <w:rPr>
          <w:rFonts w:ascii="Times New Roman" w:hAnsi="Times New Roman" w:cs="Times New Roman"/>
          <w:iCs/>
          <w:sz w:val="24"/>
          <w:szCs w:val="24"/>
        </w:rPr>
        <w:t>BIDInvest</w:t>
      </w:r>
      <w:proofErr w:type="spellEnd"/>
      <w:r w:rsidRPr="003E7A82">
        <w:rPr>
          <w:rFonts w:ascii="Times New Roman" w:hAnsi="Times New Roman" w:cs="Times New Roman"/>
          <w:iCs/>
          <w:sz w:val="24"/>
          <w:szCs w:val="24"/>
        </w:rPr>
        <w:t>. (</w:t>
      </w:r>
      <w:r w:rsidR="000D4548" w:rsidRPr="003E7A82">
        <w:rPr>
          <w:rFonts w:ascii="Times New Roman" w:hAnsi="Times New Roman" w:cs="Times New Roman"/>
          <w:iCs/>
          <w:sz w:val="24"/>
          <w:szCs w:val="24"/>
        </w:rPr>
        <w:t>2017</w:t>
      </w:r>
      <w:r w:rsidRPr="003E7A82">
        <w:rPr>
          <w:rFonts w:ascii="Times New Roman" w:hAnsi="Times New Roman" w:cs="Times New Roman"/>
          <w:iCs/>
          <w:sz w:val="24"/>
          <w:szCs w:val="24"/>
        </w:rPr>
        <w:t xml:space="preserve">). </w:t>
      </w:r>
      <w:r w:rsidRPr="003E7A82">
        <w:rPr>
          <w:rFonts w:ascii="Times New Roman" w:hAnsi="Times New Roman" w:cs="Times New Roman"/>
          <w:i/>
          <w:sz w:val="24"/>
          <w:szCs w:val="24"/>
        </w:rPr>
        <w:t>Financiamiento de FINAE.</w:t>
      </w:r>
      <w:r w:rsidR="0050217E" w:rsidRPr="003E7A82">
        <w:rPr>
          <w:rFonts w:ascii="Times New Roman" w:hAnsi="Times New Roman" w:cs="Times New Roman"/>
        </w:rPr>
        <w:t xml:space="preserve"> </w:t>
      </w:r>
      <w:r w:rsidR="000776FE" w:rsidRPr="006053F1">
        <w:rPr>
          <w:rFonts w:ascii="Times New Roman" w:hAnsi="Times New Roman" w:cs="Times New Roman"/>
          <w:lang w:val="en-GB"/>
        </w:rPr>
        <w:t>BID Invest</w:t>
      </w:r>
      <w:r w:rsidR="000776FE" w:rsidRPr="006053F1">
        <w:rPr>
          <w:lang w:val="en-GB"/>
        </w:rPr>
        <w:t xml:space="preserve"> </w:t>
      </w:r>
      <w:hyperlink r:id="rId16" w:history="1">
        <w:r w:rsidR="000776FE" w:rsidRPr="006053F1">
          <w:rPr>
            <w:rStyle w:val="Hipervnculo"/>
            <w:rFonts w:ascii="Times New Roman" w:hAnsi="Times New Roman" w:cs="Times New Roman"/>
            <w:iCs/>
            <w:sz w:val="24"/>
            <w:szCs w:val="24"/>
            <w:lang w:val="en-GB"/>
          </w:rPr>
          <w:t>https://www.idbinvest.org/es/projects/financiamiento-de-finae</w:t>
        </w:r>
      </w:hyperlink>
      <w:r w:rsidR="007B325B" w:rsidRPr="006053F1">
        <w:rPr>
          <w:rFonts w:ascii="Times New Roman" w:hAnsi="Times New Roman" w:cs="Times New Roman"/>
          <w:iCs/>
          <w:sz w:val="24"/>
          <w:szCs w:val="24"/>
          <w:lang w:val="en-GB"/>
        </w:rPr>
        <w:t>.</w:t>
      </w:r>
    </w:p>
    <w:p w14:paraId="05524B6F" w14:textId="12606727" w:rsidR="00F10D9C" w:rsidRPr="003E7A82" w:rsidRDefault="00F10D9C" w:rsidP="00E77F98">
      <w:pPr>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Cámara Suizo Mexicana</w:t>
      </w:r>
      <w:r w:rsidR="00283317"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00283317" w:rsidRPr="003E7A82">
        <w:rPr>
          <w:rFonts w:ascii="Times New Roman" w:hAnsi="Times New Roman" w:cs="Times New Roman"/>
          <w:iCs/>
          <w:sz w:val="24"/>
          <w:szCs w:val="24"/>
        </w:rPr>
        <w:t>s. f.</w:t>
      </w:r>
      <w:r w:rsidRPr="003E7A82">
        <w:rPr>
          <w:rFonts w:ascii="Times New Roman" w:hAnsi="Times New Roman" w:cs="Times New Roman"/>
          <w:iCs/>
          <w:sz w:val="24"/>
          <w:szCs w:val="24"/>
        </w:rPr>
        <w:t>)</w:t>
      </w:r>
      <w:r w:rsidR="00BF4903"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Pr="003E7A82">
        <w:rPr>
          <w:rFonts w:ascii="Times New Roman" w:hAnsi="Times New Roman" w:cs="Times New Roman"/>
          <w:i/>
          <w:sz w:val="24"/>
          <w:szCs w:val="24"/>
        </w:rPr>
        <w:t xml:space="preserve">La </w:t>
      </w:r>
      <w:r w:rsidR="00283317" w:rsidRPr="003E7A82">
        <w:rPr>
          <w:rFonts w:ascii="Times New Roman" w:hAnsi="Times New Roman" w:cs="Times New Roman"/>
          <w:i/>
          <w:sz w:val="24"/>
          <w:szCs w:val="24"/>
        </w:rPr>
        <w:t xml:space="preserve">formación dual </w:t>
      </w:r>
      <w:r w:rsidRPr="003E7A82">
        <w:rPr>
          <w:rFonts w:ascii="Times New Roman" w:hAnsi="Times New Roman" w:cs="Times New Roman"/>
          <w:i/>
          <w:sz w:val="24"/>
          <w:szCs w:val="24"/>
        </w:rPr>
        <w:t>en Suiza</w:t>
      </w:r>
      <w:r w:rsidR="000C5764" w:rsidRPr="003E7A82">
        <w:rPr>
          <w:rFonts w:ascii="Times New Roman" w:hAnsi="Times New Roman" w:cs="Times New Roman"/>
          <w:iCs/>
          <w:sz w:val="24"/>
          <w:szCs w:val="24"/>
        </w:rPr>
        <w:t>.</w:t>
      </w:r>
      <w:r w:rsidRPr="003E7A82">
        <w:rPr>
          <w:rFonts w:ascii="Times New Roman" w:hAnsi="Times New Roman" w:cs="Times New Roman"/>
          <w:i/>
          <w:sz w:val="24"/>
          <w:szCs w:val="24"/>
        </w:rPr>
        <w:t xml:space="preserve"> </w:t>
      </w:r>
      <w:r w:rsidRPr="003E7A82">
        <w:rPr>
          <w:rFonts w:ascii="Times New Roman" w:hAnsi="Times New Roman" w:cs="Times New Roman"/>
          <w:iCs/>
          <w:sz w:val="24"/>
          <w:szCs w:val="24"/>
        </w:rPr>
        <w:t>Cámara Suizo Mexicana de Comercio e Industria</w:t>
      </w:r>
      <w:r w:rsidR="00283317"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hyperlink r:id="rId17" w:history="1">
        <w:r w:rsidR="00283317" w:rsidRPr="003E7A82">
          <w:rPr>
            <w:rStyle w:val="Hipervnculo"/>
            <w:rFonts w:ascii="Times New Roman" w:hAnsi="Times New Roman" w:cs="Times New Roman"/>
            <w:iCs/>
            <w:sz w:val="24"/>
            <w:szCs w:val="24"/>
          </w:rPr>
          <w:t>https://swisscham.mx/formacion-dual/</w:t>
        </w:r>
      </w:hyperlink>
      <w:r w:rsidR="000D4548"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p>
    <w:p w14:paraId="54DE3B8A" w14:textId="1AACF854" w:rsidR="00F53BEA" w:rsidRPr="003E7A82" w:rsidRDefault="009C636A"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Camarena Gómez, B</w:t>
      </w:r>
      <w:r w:rsidR="00C37CD1"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O</w:t>
      </w:r>
      <w:r w:rsidR="00C37CD1"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y </w:t>
      </w:r>
      <w:r w:rsidR="00C37CD1" w:rsidRPr="003E7A82">
        <w:rPr>
          <w:rFonts w:ascii="Times New Roman" w:hAnsi="Times New Roman" w:cs="Times New Roman"/>
          <w:iCs/>
          <w:sz w:val="24"/>
          <w:szCs w:val="24"/>
        </w:rPr>
        <w:t xml:space="preserve">Velarde Hernández, </w:t>
      </w:r>
      <w:r w:rsidRPr="003E7A82">
        <w:rPr>
          <w:rFonts w:ascii="Times New Roman" w:hAnsi="Times New Roman" w:cs="Times New Roman"/>
          <w:iCs/>
          <w:sz w:val="24"/>
          <w:szCs w:val="24"/>
        </w:rPr>
        <w:t>D</w:t>
      </w:r>
      <w:r w:rsidR="00C37CD1"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(2009)</w:t>
      </w:r>
      <w:r w:rsidR="00BF4903"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Educación superior</w:t>
      </w:r>
      <w:r w:rsidR="005A7A16"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y mercado laboral:</w:t>
      </w:r>
      <w:r w:rsidR="005A7A16"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vinculación y pertinencia social</w:t>
      </w:r>
      <w:r w:rsidR="005A7A16"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 xml:space="preserve">¿Por qué? y ¿para </w:t>
      </w:r>
      <w:proofErr w:type="gramStart"/>
      <w:r w:rsidRPr="003E7A82">
        <w:rPr>
          <w:rFonts w:ascii="Times New Roman" w:hAnsi="Times New Roman" w:cs="Times New Roman"/>
          <w:iCs/>
          <w:sz w:val="24"/>
          <w:szCs w:val="24"/>
        </w:rPr>
        <w:t>qué?</w:t>
      </w:r>
      <w:r w:rsidR="001D6082" w:rsidRPr="003E7A82">
        <w:rPr>
          <w:rFonts w:ascii="Times New Roman" w:hAnsi="Times New Roman" w:cs="Times New Roman"/>
          <w:iCs/>
          <w:sz w:val="24"/>
          <w:szCs w:val="24"/>
        </w:rPr>
        <w:t>.</w:t>
      </w:r>
      <w:proofErr w:type="gramEnd"/>
      <w:r w:rsidR="00B23B51" w:rsidRPr="003E7A82">
        <w:rPr>
          <w:rFonts w:ascii="Times New Roman" w:hAnsi="Times New Roman" w:cs="Times New Roman"/>
          <w:iCs/>
          <w:sz w:val="24"/>
          <w:szCs w:val="24"/>
        </w:rPr>
        <w:t xml:space="preserve"> </w:t>
      </w:r>
      <w:r w:rsidR="00F53BEA" w:rsidRPr="003E7A82">
        <w:rPr>
          <w:rFonts w:ascii="Times New Roman" w:hAnsi="Times New Roman" w:cs="Times New Roman"/>
          <w:i/>
          <w:sz w:val="24"/>
          <w:szCs w:val="24"/>
        </w:rPr>
        <w:t>Estudios sociales</w:t>
      </w:r>
      <w:r w:rsidR="00DF030B" w:rsidRPr="003E7A82">
        <w:rPr>
          <w:rFonts w:ascii="Times New Roman" w:hAnsi="Times New Roman" w:cs="Times New Roman"/>
          <w:i/>
          <w:sz w:val="24"/>
          <w:szCs w:val="24"/>
        </w:rPr>
        <w:t>,</w:t>
      </w:r>
      <w:r w:rsidR="001D6082" w:rsidRPr="003E7A82">
        <w:rPr>
          <w:rFonts w:ascii="Times New Roman" w:hAnsi="Times New Roman" w:cs="Times New Roman"/>
          <w:i/>
          <w:sz w:val="24"/>
          <w:szCs w:val="24"/>
        </w:rPr>
        <w:t xml:space="preserve"> </w:t>
      </w:r>
      <w:r w:rsidR="00DF030B" w:rsidRPr="003E7A82">
        <w:rPr>
          <w:rFonts w:ascii="Times New Roman" w:hAnsi="Times New Roman" w:cs="Times New Roman"/>
          <w:i/>
          <w:sz w:val="24"/>
          <w:szCs w:val="24"/>
        </w:rPr>
        <w:t>17</w:t>
      </w:r>
      <w:r w:rsidR="000C5764" w:rsidRPr="003E7A82">
        <w:rPr>
          <w:rFonts w:ascii="Times New Roman" w:hAnsi="Times New Roman" w:cs="Times New Roman"/>
          <w:i/>
          <w:sz w:val="24"/>
          <w:szCs w:val="24"/>
        </w:rPr>
        <w:t xml:space="preserve"> </w:t>
      </w:r>
      <w:r w:rsidR="00DF030B" w:rsidRPr="003E7A82">
        <w:rPr>
          <w:rFonts w:ascii="Times New Roman" w:hAnsi="Times New Roman" w:cs="Times New Roman"/>
          <w:iCs/>
          <w:sz w:val="24"/>
          <w:szCs w:val="24"/>
        </w:rPr>
        <w:t>(SPE),</w:t>
      </w:r>
      <w:r w:rsidR="001D6082" w:rsidRPr="003E7A82">
        <w:rPr>
          <w:rFonts w:ascii="Times New Roman" w:hAnsi="Times New Roman" w:cs="Times New Roman"/>
          <w:iCs/>
          <w:sz w:val="24"/>
          <w:szCs w:val="24"/>
        </w:rPr>
        <w:t xml:space="preserve"> </w:t>
      </w:r>
      <w:r w:rsidR="00DF030B" w:rsidRPr="003E7A82">
        <w:rPr>
          <w:rFonts w:ascii="Times New Roman" w:hAnsi="Times New Roman" w:cs="Times New Roman"/>
          <w:iCs/>
          <w:sz w:val="24"/>
          <w:szCs w:val="24"/>
        </w:rPr>
        <w:t>105-125</w:t>
      </w:r>
      <w:r w:rsidR="00FE5436" w:rsidRPr="003E7A82">
        <w:rPr>
          <w:rFonts w:ascii="Times New Roman" w:hAnsi="Times New Roman" w:cs="Times New Roman"/>
          <w:iCs/>
          <w:sz w:val="24"/>
          <w:szCs w:val="24"/>
        </w:rPr>
        <w:t xml:space="preserve">. </w:t>
      </w:r>
    </w:p>
    <w:p w14:paraId="3CE9875B" w14:textId="52736D84" w:rsidR="00447307" w:rsidRPr="00CE0131" w:rsidRDefault="00447307" w:rsidP="00E77F98">
      <w:pPr>
        <w:tabs>
          <w:tab w:val="left" w:pos="284"/>
        </w:tabs>
        <w:spacing w:before="40" w:after="40" w:line="360" w:lineRule="auto"/>
        <w:ind w:left="993" w:hanging="993"/>
        <w:jc w:val="both"/>
        <w:rPr>
          <w:rFonts w:ascii="Times New Roman" w:hAnsi="Times New Roman" w:cs="Times New Roman"/>
          <w:iCs/>
          <w:sz w:val="24"/>
          <w:szCs w:val="24"/>
          <w:lang w:val="en-GB"/>
        </w:rPr>
      </w:pPr>
      <w:r w:rsidRPr="004D6263">
        <w:rPr>
          <w:rFonts w:ascii="Times New Roman" w:hAnsi="Times New Roman" w:cs="Times New Roman"/>
          <w:iCs/>
          <w:sz w:val="24"/>
          <w:szCs w:val="24"/>
        </w:rPr>
        <w:t xml:space="preserve">Casas, D. (2016). </w:t>
      </w:r>
      <w:r w:rsidRPr="004D6263">
        <w:rPr>
          <w:rStyle w:val="italica"/>
          <w:rFonts w:ascii="Times New Roman" w:hAnsi="Times New Roman" w:cs="Times New Roman"/>
          <w:iCs/>
          <w:sz w:val="24"/>
          <w:szCs w:val="24"/>
        </w:rPr>
        <w:t>Los 4 pasos para una gestión del cambio organizacional efectiva</w:t>
      </w:r>
      <w:r w:rsidRPr="004D6263">
        <w:rPr>
          <w:rFonts w:ascii="Times New Roman" w:hAnsi="Times New Roman" w:cs="Times New Roman"/>
          <w:iCs/>
          <w:sz w:val="24"/>
          <w:szCs w:val="24"/>
        </w:rPr>
        <w:t xml:space="preserve">. </w:t>
      </w:r>
      <w:proofErr w:type="spellStart"/>
      <w:r w:rsidR="000C5764" w:rsidRPr="004D6263">
        <w:rPr>
          <w:rFonts w:ascii="Times New Roman" w:hAnsi="Times New Roman" w:cs="Times New Roman"/>
          <w:iCs/>
          <w:sz w:val="24"/>
          <w:szCs w:val="24"/>
          <w:lang w:val="en-GB"/>
        </w:rPr>
        <w:t>Glüky</w:t>
      </w:r>
      <w:proofErr w:type="spellEnd"/>
      <w:r w:rsidR="000C5764" w:rsidRPr="004D6263">
        <w:rPr>
          <w:rFonts w:ascii="Times New Roman" w:hAnsi="Times New Roman" w:cs="Times New Roman"/>
          <w:iCs/>
          <w:sz w:val="24"/>
          <w:szCs w:val="24"/>
          <w:lang w:val="en-GB"/>
        </w:rPr>
        <w:t xml:space="preserve"> Group. </w:t>
      </w:r>
      <w:hyperlink r:id="rId18" w:history="1">
        <w:r w:rsidR="000C5764" w:rsidRPr="004D6263">
          <w:rPr>
            <w:rStyle w:val="Hipervnculo"/>
            <w:rFonts w:ascii="Times New Roman" w:hAnsi="Times New Roman" w:cs="Times New Roman"/>
            <w:sz w:val="24"/>
            <w:szCs w:val="24"/>
            <w:lang w:val="en-GB"/>
          </w:rPr>
          <w:t>https://blog.acsendo.com/los-4-pasos-una-gestion-del-cambio-organizacional-efectiva/</w:t>
        </w:r>
      </w:hyperlink>
      <w:r w:rsidRPr="00CE0131">
        <w:rPr>
          <w:rFonts w:ascii="Times New Roman" w:hAnsi="Times New Roman" w:cs="Times New Roman"/>
          <w:iCs/>
          <w:sz w:val="24"/>
          <w:szCs w:val="24"/>
          <w:lang w:val="en-GB"/>
        </w:rPr>
        <w:t>.</w:t>
      </w:r>
    </w:p>
    <w:p w14:paraId="5E9CAA2E" w14:textId="6ED3F51F" w:rsidR="00EB3F02" w:rsidRPr="003E7A82" w:rsidRDefault="00EB3F02"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Castelazo, V</w:t>
      </w:r>
      <w:r w:rsidR="001042B5"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(2016)</w:t>
      </w:r>
      <w:r w:rsidR="00282629"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Educación comparada internacional y nacional</w:t>
      </w:r>
      <w:r w:rsidR="00DF030B"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Pr="003E7A82">
        <w:rPr>
          <w:rFonts w:ascii="Times New Roman" w:hAnsi="Times New Roman" w:cs="Times New Roman"/>
          <w:i/>
          <w:sz w:val="24"/>
          <w:szCs w:val="24"/>
        </w:rPr>
        <w:t>Revista de la Educación Superior,</w:t>
      </w:r>
      <w:r w:rsidRPr="003E7A82">
        <w:rPr>
          <w:rFonts w:ascii="Times New Roman" w:hAnsi="Times New Roman" w:cs="Times New Roman"/>
          <w:iCs/>
          <w:sz w:val="24"/>
          <w:szCs w:val="24"/>
        </w:rPr>
        <w:t xml:space="preserve"> </w:t>
      </w:r>
      <w:r w:rsidRPr="003E7A82">
        <w:rPr>
          <w:rFonts w:ascii="Times New Roman" w:hAnsi="Times New Roman" w:cs="Times New Roman"/>
          <w:i/>
          <w:sz w:val="24"/>
          <w:szCs w:val="24"/>
        </w:rPr>
        <w:t>45</w:t>
      </w:r>
      <w:r w:rsidR="00DF030B" w:rsidRPr="003E7A82">
        <w:rPr>
          <w:rFonts w:ascii="Times New Roman" w:hAnsi="Times New Roman" w:cs="Times New Roman"/>
          <w:iCs/>
          <w:sz w:val="24"/>
          <w:szCs w:val="24"/>
        </w:rPr>
        <w:t>(</w:t>
      </w:r>
      <w:r w:rsidRPr="003E7A82">
        <w:rPr>
          <w:rFonts w:ascii="Times New Roman" w:hAnsi="Times New Roman" w:cs="Times New Roman"/>
          <w:iCs/>
          <w:sz w:val="24"/>
          <w:szCs w:val="24"/>
        </w:rPr>
        <w:t>178</w:t>
      </w:r>
      <w:r w:rsidR="00DF030B" w:rsidRPr="003E7A82">
        <w:rPr>
          <w:rFonts w:ascii="Times New Roman" w:hAnsi="Times New Roman" w:cs="Times New Roman"/>
          <w:iCs/>
          <w:sz w:val="24"/>
          <w:szCs w:val="24"/>
        </w:rPr>
        <w:t>)</w:t>
      </w:r>
      <w:r w:rsidRPr="003E7A82">
        <w:rPr>
          <w:rFonts w:ascii="Times New Roman" w:hAnsi="Times New Roman" w:cs="Times New Roman"/>
          <w:iCs/>
          <w:sz w:val="24"/>
          <w:szCs w:val="24"/>
        </w:rPr>
        <w:t>,</w:t>
      </w:r>
      <w:r w:rsidR="00DF030B"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97-100</w:t>
      </w:r>
      <w:r w:rsidR="00DF030B" w:rsidRPr="003E7A82">
        <w:rPr>
          <w:rFonts w:ascii="Times New Roman" w:hAnsi="Times New Roman" w:cs="Times New Roman"/>
          <w:iCs/>
          <w:sz w:val="24"/>
          <w:szCs w:val="24"/>
        </w:rPr>
        <w:t>.</w:t>
      </w:r>
      <w:r w:rsidR="0091365E" w:rsidRPr="003E7A82">
        <w:rPr>
          <w:rFonts w:ascii="Times New Roman" w:hAnsi="Times New Roman" w:cs="Times New Roman"/>
          <w:iCs/>
          <w:sz w:val="24"/>
          <w:szCs w:val="24"/>
        </w:rPr>
        <w:t xml:space="preserve"> </w:t>
      </w:r>
      <w:hyperlink r:id="rId19" w:history="1">
        <w:r w:rsidR="0091365E" w:rsidRPr="003E7A82">
          <w:rPr>
            <w:rStyle w:val="Hipervnculo"/>
            <w:rFonts w:ascii="Times New Roman" w:hAnsi="Times New Roman" w:cs="Times New Roman"/>
            <w:iCs/>
            <w:color w:val="auto"/>
            <w:sz w:val="24"/>
            <w:szCs w:val="24"/>
          </w:rPr>
          <w:t>https://www.scielo.org.mx/pdf/resu/v45n178/0185-2760-resu-45-178-00097.pdf</w:t>
        </w:r>
      </w:hyperlink>
      <w:r w:rsidR="00DF030B" w:rsidRPr="003E7A82">
        <w:rPr>
          <w:rFonts w:ascii="Times New Roman" w:hAnsi="Times New Roman" w:cs="Times New Roman"/>
          <w:iCs/>
          <w:sz w:val="24"/>
          <w:szCs w:val="24"/>
        </w:rPr>
        <w:t>.</w:t>
      </w:r>
      <w:r w:rsidR="00C7570B" w:rsidRPr="003E7A82">
        <w:rPr>
          <w:rFonts w:ascii="Times New Roman" w:hAnsi="Times New Roman" w:cs="Times New Roman"/>
          <w:iCs/>
          <w:sz w:val="24"/>
          <w:szCs w:val="24"/>
        </w:rPr>
        <w:t xml:space="preserve"> </w:t>
      </w:r>
    </w:p>
    <w:p w14:paraId="08D23C09" w14:textId="5E461C28" w:rsidR="00B66537" w:rsidRPr="003E7A82" w:rsidRDefault="00540D09"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lastRenderedPageBreak/>
        <w:t>Castellanos-Ramírez</w:t>
      </w:r>
      <w:r w:rsidR="00B66537" w:rsidRPr="003E7A82">
        <w:rPr>
          <w:rFonts w:ascii="Times New Roman" w:hAnsi="Times New Roman" w:cs="Times New Roman"/>
          <w:iCs/>
          <w:sz w:val="24"/>
          <w:szCs w:val="24"/>
        </w:rPr>
        <w:t>, J</w:t>
      </w:r>
      <w:r w:rsidR="00C37CD1" w:rsidRPr="003E7A82">
        <w:rPr>
          <w:rFonts w:ascii="Times New Roman" w:hAnsi="Times New Roman" w:cs="Times New Roman"/>
          <w:iCs/>
          <w:sz w:val="24"/>
          <w:szCs w:val="24"/>
        </w:rPr>
        <w:t>.</w:t>
      </w:r>
      <w:r w:rsidR="00B66537" w:rsidRPr="003E7A82">
        <w:rPr>
          <w:rFonts w:ascii="Times New Roman" w:hAnsi="Times New Roman" w:cs="Times New Roman"/>
          <w:iCs/>
          <w:sz w:val="24"/>
          <w:szCs w:val="24"/>
        </w:rPr>
        <w:t xml:space="preserve"> C</w:t>
      </w:r>
      <w:r w:rsidR="00C37CD1" w:rsidRPr="003E7A82">
        <w:rPr>
          <w:rFonts w:ascii="Times New Roman" w:hAnsi="Times New Roman" w:cs="Times New Roman"/>
          <w:iCs/>
          <w:sz w:val="24"/>
          <w:szCs w:val="24"/>
        </w:rPr>
        <w:t>.</w:t>
      </w:r>
      <w:r w:rsidR="007E47C3" w:rsidRPr="003E7A82">
        <w:rPr>
          <w:rFonts w:ascii="Times New Roman" w:hAnsi="Times New Roman" w:cs="Times New Roman"/>
          <w:iCs/>
          <w:sz w:val="24"/>
          <w:szCs w:val="24"/>
        </w:rPr>
        <w:t xml:space="preserve"> y</w:t>
      </w:r>
      <w:r w:rsidRPr="003E7A82">
        <w:rPr>
          <w:rFonts w:ascii="Times New Roman" w:hAnsi="Times New Roman" w:cs="Times New Roman"/>
          <w:iCs/>
          <w:sz w:val="24"/>
          <w:szCs w:val="24"/>
        </w:rPr>
        <w:t xml:space="preserve"> </w:t>
      </w:r>
      <w:r w:rsidR="00C37CD1" w:rsidRPr="003E7A82">
        <w:rPr>
          <w:rFonts w:ascii="Times New Roman" w:hAnsi="Times New Roman" w:cs="Times New Roman"/>
          <w:iCs/>
          <w:sz w:val="24"/>
          <w:szCs w:val="24"/>
        </w:rPr>
        <w:t xml:space="preserve">Niño Carrasco, </w:t>
      </w:r>
      <w:proofErr w:type="spellStart"/>
      <w:r w:rsidRPr="003E7A82">
        <w:rPr>
          <w:rFonts w:ascii="Times New Roman" w:hAnsi="Times New Roman" w:cs="Times New Roman"/>
          <w:iCs/>
          <w:sz w:val="24"/>
          <w:szCs w:val="24"/>
        </w:rPr>
        <w:t>S</w:t>
      </w:r>
      <w:r w:rsidR="00C37CD1" w:rsidRPr="003E7A82">
        <w:rPr>
          <w:rFonts w:ascii="Times New Roman" w:hAnsi="Times New Roman" w:cs="Times New Roman"/>
          <w:iCs/>
          <w:sz w:val="24"/>
          <w:szCs w:val="24"/>
        </w:rPr>
        <w:t>h</w:t>
      </w:r>
      <w:proofErr w:type="spellEnd"/>
      <w:r w:rsidR="00C37CD1"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proofErr w:type="gramStart"/>
      <w:r w:rsidRPr="003E7A82">
        <w:rPr>
          <w:rFonts w:ascii="Times New Roman" w:hAnsi="Times New Roman" w:cs="Times New Roman"/>
          <w:iCs/>
          <w:sz w:val="24"/>
          <w:szCs w:val="24"/>
        </w:rPr>
        <w:t>A</w:t>
      </w:r>
      <w:r w:rsidR="00C37CD1" w:rsidRPr="003E7A82">
        <w:rPr>
          <w:rFonts w:ascii="Times New Roman" w:hAnsi="Times New Roman" w:cs="Times New Roman"/>
          <w:iCs/>
          <w:sz w:val="24"/>
          <w:szCs w:val="24"/>
        </w:rPr>
        <w:t>.</w:t>
      </w:r>
      <w:r w:rsidR="007E47C3" w:rsidRPr="003E7A82">
        <w:rPr>
          <w:rFonts w:ascii="Times New Roman" w:hAnsi="Times New Roman" w:cs="Times New Roman"/>
          <w:iCs/>
          <w:sz w:val="24"/>
          <w:szCs w:val="24"/>
        </w:rPr>
        <w:t>(</w:t>
      </w:r>
      <w:proofErr w:type="gramEnd"/>
      <w:r w:rsidR="007E47C3" w:rsidRPr="003E7A82">
        <w:rPr>
          <w:rFonts w:ascii="Times New Roman" w:hAnsi="Times New Roman" w:cs="Times New Roman"/>
          <w:iCs/>
          <w:sz w:val="24"/>
          <w:szCs w:val="24"/>
        </w:rPr>
        <w:t>2022)</w:t>
      </w:r>
      <w:r w:rsidR="00BF4903" w:rsidRPr="003E7A82">
        <w:rPr>
          <w:rFonts w:ascii="Times New Roman" w:hAnsi="Times New Roman" w:cs="Times New Roman"/>
          <w:iCs/>
          <w:sz w:val="24"/>
          <w:szCs w:val="24"/>
        </w:rPr>
        <w:t>.</w:t>
      </w:r>
      <w:r w:rsidR="009F35B0"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Educación Superior en México: los retos del gobierno presidencial en el periodo 2018-2024 en materia de cobertura</w:t>
      </w:r>
      <w:r w:rsidR="002A690B" w:rsidRPr="003E7A82">
        <w:rPr>
          <w:rFonts w:ascii="Times New Roman" w:hAnsi="Times New Roman" w:cs="Times New Roman"/>
          <w:iCs/>
          <w:sz w:val="24"/>
          <w:szCs w:val="24"/>
        </w:rPr>
        <w:t>.</w:t>
      </w:r>
      <w:r w:rsidR="009F35B0" w:rsidRPr="003E7A82">
        <w:rPr>
          <w:rFonts w:ascii="Times New Roman" w:hAnsi="Times New Roman" w:cs="Times New Roman"/>
          <w:iCs/>
          <w:sz w:val="24"/>
          <w:szCs w:val="24"/>
        </w:rPr>
        <w:t xml:space="preserve"> </w:t>
      </w:r>
      <w:proofErr w:type="spellStart"/>
      <w:r w:rsidRPr="003E7A82">
        <w:rPr>
          <w:rFonts w:ascii="Times New Roman" w:hAnsi="Times New Roman" w:cs="Times New Roman"/>
          <w:i/>
          <w:sz w:val="24"/>
          <w:szCs w:val="24"/>
        </w:rPr>
        <w:t>Avaliação</w:t>
      </w:r>
      <w:proofErr w:type="spellEnd"/>
      <w:r w:rsidRPr="003E7A82">
        <w:rPr>
          <w:rFonts w:ascii="Times New Roman" w:hAnsi="Times New Roman" w:cs="Times New Roman"/>
          <w:i/>
          <w:sz w:val="24"/>
          <w:szCs w:val="24"/>
        </w:rPr>
        <w:t xml:space="preserve"> e Políticas Públicas em </w:t>
      </w:r>
      <w:proofErr w:type="spellStart"/>
      <w:r w:rsidRPr="003E7A82">
        <w:rPr>
          <w:rFonts w:ascii="Times New Roman" w:hAnsi="Times New Roman" w:cs="Times New Roman"/>
          <w:i/>
          <w:sz w:val="24"/>
          <w:szCs w:val="24"/>
        </w:rPr>
        <w:t>Educação</w:t>
      </w:r>
      <w:proofErr w:type="spellEnd"/>
      <w:r w:rsidRPr="003E7A82">
        <w:rPr>
          <w:rFonts w:ascii="Times New Roman" w:hAnsi="Times New Roman" w:cs="Times New Roman"/>
          <w:i/>
          <w:sz w:val="24"/>
          <w:szCs w:val="24"/>
        </w:rPr>
        <w:t>, 30</w:t>
      </w:r>
      <w:r w:rsidR="00DF030B" w:rsidRPr="003E7A82">
        <w:rPr>
          <w:rFonts w:ascii="Times New Roman" w:hAnsi="Times New Roman" w:cs="Times New Roman"/>
          <w:iCs/>
          <w:sz w:val="24"/>
          <w:szCs w:val="24"/>
        </w:rPr>
        <w:t>(</w:t>
      </w:r>
      <w:r w:rsidRPr="003E7A82">
        <w:rPr>
          <w:rFonts w:ascii="Times New Roman" w:hAnsi="Times New Roman" w:cs="Times New Roman"/>
          <w:iCs/>
          <w:sz w:val="24"/>
          <w:szCs w:val="24"/>
        </w:rPr>
        <w:t>115</w:t>
      </w:r>
      <w:r w:rsidR="00DF030B" w:rsidRPr="003E7A82">
        <w:rPr>
          <w:rFonts w:ascii="Times New Roman" w:hAnsi="Times New Roman" w:cs="Times New Roman"/>
          <w:iCs/>
          <w:sz w:val="24"/>
          <w:szCs w:val="24"/>
        </w:rPr>
        <w:t>)</w:t>
      </w:r>
      <w:r w:rsidRPr="003E7A82">
        <w:rPr>
          <w:rFonts w:ascii="Times New Roman" w:hAnsi="Times New Roman" w:cs="Times New Roman"/>
          <w:iCs/>
          <w:sz w:val="24"/>
          <w:szCs w:val="24"/>
        </w:rPr>
        <w:t>, 394-413</w:t>
      </w:r>
      <w:r w:rsidR="00B81673" w:rsidRPr="003E7A82">
        <w:rPr>
          <w:rFonts w:ascii="Times New Roman" w:hAnsi="Times New Roman" w:cs="Times New Roman"/>
          <w:iCs/>
          <w:sz w:val="24"/>
          <w:szCs w:val="24"/>
        </w:rPr>
        <w:t>.</w:t>
      </w:r>
    </w:p>
    <w:p w14:paraId="21826796" w14:textId="42B322B7" w:rsidR="003D28FB" w:rsidRPr="003E7A82" w:rsidRDefault="003D28FB"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Centro de Estudios Cervantinos</w:t>
      </w:r>
      <w:r w:rsidR="002A690B" w:rsidRPr="003E7A82">
        <w:rPr>
          <w:rFonts w:ascii="Times New Roman" w:hAnsi="Times New Roman" w:cs="Times New Roman"/>
          <w:iCs/>
          <w:sz w:val="24"/>
          <w:szCs w:val="24"/>
        </w:rPr>
        <w:t>.</w:t>
      </w:r>
      <w:r w:rsidR="000B2816" w:rsidRPr="003E7A82">
        <w:rPr>
          <w:rFonts w:ascii="Times New Roman" w:hAnsi="Times New Roman" w:cs="Times New Roman"/>
          <w:iCs/>
          <w:sz w:val="24"/>
          <w:szCs w:val="24"/>
        </w:rPr>
        <w:t xml:space="preserve"> (</w:t>
      </w:r>
      <w:r w:rsidR="00990BDB" w:rsidRPr="003E7A82">
        <w:rPr>
          <w:rFonts w:ascii="Times New Roman" w:hAnsi="Times New Roman" w:cs="Times New Roman"/>
          <w:iCs/>
          <w:sz w:val="24"/>
          <w:szCs w:val="24"/>
        </w:rPr>
        <w:t>2020</w:t>
      </w:r>
      <w:r w:rsidR="000B2816" w:rsidRPr="003E7A82">
        <w:rPr>
          <w:rFonts w:ascii="Times New Roman" w:hAnsi="Times New Roman" w:cs="Times New Roman"/>
          <w:iCs/>
          <w:sz w:val="24"/>
          <w:szCs w:val="24"/>
        </w:rPr>
        <w:t>)</w:t>
      </w:r>
      <w:r w:rsidR="00BF4903" w:rsidRPr="003E7A82">
        <w:rPr>
          <w:rFonts w:ascii="Times New Roman" w:hAnsi="Times New Roman" w:cs="Times New Roman"/>
          <w:iCs/>
          <w:sz w:val="24"/>
          <w:szCs w:val="24"/>
        </w:rPr>
        <w:t>.</w:t>
      </w:r>
      <w:r w:rsidR="000B2816" w:rsidRPr="003E7A82">
        <w:rPr>
          <w:rFonts w:ascii="Times New Roman" w:hAnsi="Times New Roman" w:cs="Times New Roman"/>
          <w:iCs/>
          <w:sz w:val="24"/>
          <w:szCs w:val="24"/>
        </w:rPr>
        <w:t xml:space="preserve"> </w:t>
      </w:r>
      <w:r w:rsidR="00497B11" w:rsidRPr="003E7A82">
        <w:rPr>
          <w:rFonts w:ascii="Times New Roman" w:hAnsi="Times New Roman" w:cs="Times New Roman"/>
          <w:i/>
          <w:sz w:val="24"/>
          <w:szCs w:val="24"/>
        </w:rPr>
        <w:t>Sistema Educativo de Noruega</w:t>
      </w:r>
      <w:r w:rsidR="00990BDB" w:rsidRPr="003E7A82">
        <w:rPr>
          <w:rFonts w:ascii="Times New Roman" w:hAnsi="Times New Roman" w:cs="Times New Roman"/>
          <w:i/>
          <w:sz w:val="24"/>
          <w:szCs w:val="24"/>
        </w:rPr>
        <w:t>.</w:t>
      </w:r>
      <w:r w:rsidR="00497B11" w:rsidRPr="003E7A82">
        <w:rPr>
          <w:rFonts w:ascii="Times New Roman" w:hAnsi="Times New Roman" w:cs="Times New Roman"/>
          <w:iCs/>
          <w:sz w:val="24"/>
          <w:szCs w:val="24"/>
        </w:rPr>
        <w:t xml:space="preserve"> </w:t>
      </w:r>
      <w:hyperlink r:id="rId20" w:history="1">
        <w:r w:rsidR="008271FA" w:rsidRPr="003E7A82">
          <w:rPr>
            <w:rStyle w:val="Hipervnculo"/>
            <w:rFonts w:ascii="Times New Roman" w:hAnsi="Times New Roman" w:cs="Times New Roman"/>
            <w:iCs/>
            <w:sz w:val="24"/>
            <w:szCs w:val="24"/>
          </w:rPr>
          <w:t>https://www.centroestudioscervantinos.es/sistema-educativo-noruega/</w:t>
        </w:r>
      </w:hyperlink>
      <w:r w:rsidR="008271FA" w:rsidRPr="003E7A82">
        <w:rPr>
          <w:rFonts w:ascii="Times New Roman" w:hAnsi="Times New Roman" w:cs="Times New Roman"/>
          <w:iCs/>
          <w:sz w:val="24"/>
          <w:szCs w:val="24"/>
        </w:rPr>
        <w:t>.</w:t>
      </w:r>
    </w:p>
    <w:p w14:paraId="3DF7FAB3" w14:textId="5C9799DC" w:rsidR="0063342E" w:rsidRPr="003E7A82" w:rsidRDefault="0063342E" w:rsidP="00E77F98">
      <w:pPr>
        <w:tabs>
          <w:tab w:val="left" w:pos="284"/>
        </w:tabs>
        <w:spacing w:before="40" w:after="40" w:line="360" w:lineRule="auto"/>
        <w:ind w:left="993" w:hanging="993"/>
        <w:jc w:val="both"/>
        <w:rPr>
          <w:rFonts w:ascii="Times New Roman" w:hAnsi="Times New Roman" w:cs="Times New Roman"/>
          <w:iCs/>
          <w:sz w:val="24"/>
          <w:szCs w:val="24"/>
        </w:rPr>
      </w:pPr>
      <w:r w:rsidRPr="006263AE">
        <w:rPr>
          <w:rFonts w:ascii="Times New Roman" w:hAnsi="Times New Roman" w:cs="Times New Roman"/>
          <w:iCs/>
          <w:sz w:val="24"/>
          <w:szCs w:val="24"/>
          <w:lang w:val="en-GB"/>
        </w:rPr>
        <w:t>Fernández Fassnacht, E</w:t>
      </w:r>
      <w:r w:rsidR="001042B5" w:rsidRPr="006263AE">
        <w:rPr>
          <w:rFonts w:ascii="Times New Roman" w:hAnsi="Times New Roman" w:cs="Times New Roman"/>
          <w:iCs/>
          <w:sz w:val="24"/>
          <w:szCs w:val="24"/>
          <w:lang w:val="en-GB"/>
        </w:rPr>
        <w:t>.</w:t>
      </w:r>
      <w:r w:rsidRPr="006263AE">
        <w:rPr>
          <w:rFonts w:ascii="Times New Roman" w:hAnsi="Times New Roman" w:cs="Times New Roman"/>
          <w:iCs/>
          <w:sz w:val="24"/>
          <w:szCs w:val="24"/>
          <w:lang w:val="en-GB"/>
        </w:rPr>
        <w:t xml:space="preserve"> (2017)</w:t>
      </w:r>
      <w:r w:rsidR="001042B5" w:rsidRPr="006263AE">
        <w:rPr>
          <w:rFonts w:ascii="Times New Roman" w:hAnsi="Times New Roman" w:cs="Times New Roman"/>
          <w:iCs/>
          <w:sz w:val="24"/>
          <w:szCs w:val="24"/>
          <w:lang w:val="en-GB"/>
        </w:rPr>
        <w:t>.</w:t>
      </w:r>
      <w:r w:rsidRPr="006263AE">
        <w:rPr>
          <w:rFonts w:ascii="Times New Roman" w:hAnsi="Times New Roman" w:cs="Times New Roman"/>
          <w:iCs/>
          <w:sz w:val="24"/>
          <w:szCs w:val="24"/>
          <w:lang w:val="en-GB"/>
        </w:rPr>
        <w:t xml:space="preserve"> </w:t>
      </w:r>
      <w:r w:rsidRPr="003E7A82">
        <w:rPr>
          <w:rFonts w:ascii="Times New Roman" w:hAnsi="Times New Roman" w:cs="Times New Roman"/>
          <w:iCs/>
          <w:sz w:val="24"/>
          <w:szCs w:val="24"/>
        </w:rPr>
        <w:t>Una mirada a los desafíos de la educación superior en México</w:t>
      </w:r>
      <w:r w:rsidR="000C5764" w:rsidRPr="003E7A82">
        <w:rPr>
          <w:rFonts w:ascii="Times New Roman" w:hAnsi="Times New Roman" w:cs="Times New Roman"/>
          <w:iCs/>
          <w:sz w:val="24"/>
          <w:szCs w:val="24"/>
        </w:rPr>
        <w:t>.</w:t>
      </w:r>
      <w:r w:rsidR="00A127D3" w:rsidRPr="003E7A82">
        <w:rPr>
          <w:rFonts w:ascii="Times New Roman" w:hAnsi="Times New Roman" w:cs="Times New Roman"/>
          <w:iCs/>
          <w:sz w:val="24"/>
          <w:szCs w:val="24"/>
        </w:rPr>
        <w:t xml:space="preserve"> </w:t>
      </w:r>
      <w:r w:rsidR="00A127D3" w:rsidRPr="003E7A82">
        <w:rPr>
          <w:rFonts w:ascii="Times New Roman" w:hAnsi="Times New Roman" w:cs="Times New Roman"/>
          <w:i/>
          <w:sz w:val="24"/>
          <w:szCs w:val="24"/>
        </w:rPr>
        <w:t>Innovación Educativa,</w:t>
      </w:r>
      <w:r w:rsidR="00A127D3" w:rsidRPr="003E7A82">
        <w:rPr>
          <w:rFonts w:ascii="Times New Roman" w:hAnsi="Times New Roman" w:cs="Times New Roman"/>
          <w:iCs/>
          <w:sz w:val="24"/>
          <w:szCs w:val="24"/>
        </w:rPr>
        <w:t xml:space="preserve"> </w:t>
      </w:r>
      <w:r w:rsidR="00A127D3" w:rsidRPr="003E7A82">
        <w:rPr>
          <w:rFonts w:ascii="Times New Roman" w:hAnsi="Times New Roman" w:cs="Times New Roman"/>
          <w:i/>
          <w:sz w:val="24"/>
          <w:szCs w:val="24"/>
        </w:rPr>
        <w:t>17</w:t>
      </w:r>
      <w:r w:rsidR="002A690B" w:rsidRPr="003E7A82">
        <w:rPr>
          <w:rFonts w:ascii="Times New Roman" w:hAnsi="Times New Roman" w:cs="Times New Roman"/>
          <w:iCs/>
          <w:sz w:val="24"/>
          <w:szCs w:val="24"/>
        </w:rPr>
        <w:t>(</w:t>
      </w:r>
      <w:r w:rsidR="00A127D3" w:rsidRPr="003E7A82">
        <w:rPr>
          <w:rFonts w:ascii="Times New Roman" w:hAnsi="Times New Roman" w:cs="Times New Roman"/>
          <w:iCs/>
          <w:sz w:val="24"/>
          <w:szCs w:val="24"/>
        </w:rPr>
        <w:t>74</w:t>
      </w:r>
      <w:r w:rsidR="002A690B" w:rsidRPr="003E7A82">
        <w:rPr>
          <w:rFonts w:ascii="Times New Roman" w:hAnsi="Times New Roman" w:cs="Times New Roman"/>
          <w:iCs/>
          <w:sz w:val="24"/>
          <w:szCs w:val="24"/>
        </w:rPr>
        <w:t>), 183-207</w:t>
      </w:r>
      <w:r w:rsidR="00461B60" w:rsidRPr="003E7A82">
        <w:rPr>
          <w:rFonts w:ascii="Times New Roman" w:hAnsi="Times New Roman" w:cs="Times New Roman"/>
          <w:iCs/>
          <w:sz w:val="24"/>
          <w:szCs w:val="24"/>
        </w:rPr>
        <w:t>.</w:t>
      </w:r>
      <w:r w:rsidR="00A127D3" w:rsidRPr="003E7A82">
        <w:rPr>
          <w:rFonts w:ascii="Times New Roman" w:hAnsi="Times New Roman" w:cs="Times New Roman"/>
          <w:iCs/>
          <w:sz w:val="24"/>
          <w:szCs w:val="24"/>
        </w:rPr>
        <w:t xml:space="preserve"> </w:t>
      </w:r>
    </w:p>
    <w:p w14:paraId="7554DB37" w14:textId="357EDB4F" w:rsidR="00F21B6E" w:rsidRPr="003E7A82" w:rsidRDefault="00D5347F" w:rsidP="00E77F98">
      <w:pPr>
        <w:tabs>
          <w:tab w:val="left" w:pos="284"/>
        </w:tabs>
        <w:spacing w:before="40" w:after="40" w:line="360" w:lineRule="auto"/>
        <w:ind w:left="993" w:hanging="993"/>
        <w:jc w:val="both"/>
        <w:rPr>
          <w:rFonts w:ascii="Times New Roman" w:hAnsi="Times New Roman" w:cs="Times New Roman"/>
          <w:iCs/>
          <w:sz w:val="24"/>
          <w:szCs w:val="24"/>
        </w:rPr>
      </w:pPr>
      <w:proofErr w:type="spellStart"/>
      <w:r w:rsidRPr="003E7A82">
        <w:rPr>
          <w:rFonts w:ascii="Times New Roman" w:hAnsi="Times New Roman" w:cs="Times New Roman"/>
          <w:iCs/>
          <w:sz w:val="24"/>
          <w:szCs w:val="24"/>
        </w:rPr>
        <w:t>Foleho</w:t>
      </w:r>
      <w:r w:rsidR="00BA57D1" w:rsidRPr="003E7A82">
        <w:rPr>
          <w:rFonts w:ascii="Times New Roman" w:hAnsi="Times New Roman" w:cs="Times New Roman"/>
          <w:iCs/>
          <w:sz w:val="24"/>
          <w:szCs w:val="24"/>
        </w:rPr>
        <w:t>g</w:t>
      </w:r>
      <w:r w:rsidRPr="003E7A82">
        <w:rPr>
          <w:rFonts w:ascii="Times New Roman" w:hAnsi="Times New Roman" w:cs="Times New Roman"/>
          <w:iCs/>
          <w:sz w:val="24"/>
          <w:szCs w:val="24"/>
        </w:rPr>
        <w:t>ykole</w:t>
      </w:r>
      <w:r w:rsidR="00BA57D1" w:rsidRPr="003E7A82">
        <w:rPr>
          <w:rFonts w:ascii="Times New Roman" w:hAnsi="Times New Roman" w:cs="Times New Roman"/>
          <w:iCs/>
          <w:sz w:val="24"/>
          <w:szCs w:val="24"/>
        </w:rPr>
        <w:t>ne</w:t>
      </w:r>
      <w:proofErr w:type="spellEnd"/>
      <w:r w:rsidR="00BE7F4F"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(2024)</w:t>
      </w:r>
      <w:r w:rsidR="00BF4903" w:rsidRPr="003E7A82">
        <w:rPr>
          <w:rFonts w:ascii="Times New Roman" w:hAnsi="Times New Roman" w:cs="Times New Roman"/>
          <w:iCs/>
          <w:sz w:val="24"/>
          <w:szCs w:val="24"/>
        </w:rPr>
        <w:t>.</w:t>
      </w:r>
      <w:r w:rsidR="00BA57D1" w:rsidRPr="003E7A82">
        <w:rPr>
          <w:rFonts w:ascii="Times New Roman" w:hAnsi="Times New Roman" w:cs="Times New Roman"/>
          <w:iCs/>
          <w:sz w:val="24"/>
          <w:szCs w:val="24"/>
        </w:rPr>
        <w:t xml:space="preserve"> </w:t>
      </w:r>
      <w:r w:rsidR="00BA57D1" w:rsidRPr="00E77F98">
        <w:rPr>
          <w:rFonts w:ascii="Times New Roman" w:hAnsi="Times New Roman" w:cs="Times New Roman"/>
          <w:sz w:val="24"/>
          <w:szCs w:val="24"/>
        </w:rPr>
        <w:t>Acerca de</w:t>
      </w:r>
      <w:r w:rsidR="00BE7F4F" w:rsidRPr="003E7A82">
        <w:rPr>
          <w:rFonts w:ascii="Times New Roman" w:hAnsi="Times New Roman" w:cs="Times New Roman"/>
          <w:i/>
          <w:sz w:val="24"/>
          <w:szCs w:val="24"/>
        </w:rPr>
        <w:t>.</w:t>
      </w:r>
      <w:r w:rsidR="00BA57D1" w:rsidRPr="003E7A82">
        <w:rPr>
          <w:rFonts w:ascii="Times New Roman" w:hAnsi="Times New Roman" w:cs="Times New Roman"/>
          <w:iCs/>
          <w:sz w:val="24"/>
          <w:szCs w:val="24"/>
        </w:rPr>
        <w:t xml:space="preserve"> </w:t>
      </w:r>
      <w:hyperlink r:id="rId21" w:history="1">
        <w:r w:rsidR="00433769" w:rsidRPr="003E7A82">
          <w:rPr>
            <w:rStyle w:val="Hipervnculo"/>
            <w:rFonts w:ascii="Times New Roman" w:hAnsi="Times New Roman" w:cs="Times New Roman"/>
            <w:iCs/>
            <w:sz w:val="24"/>
            <w:szCs w:val="24"/>
          </w:rPr>
          <w:t>https://www.folkehogskole.no/en/about</w:t>
        </w:r>
      </w:hyperlink>
      <w:r w:rsidR="00433769" w:rsidRPr="003E7A82">
        <w:rPr>
          <w:rFonts w:ascii="Times New Roman" w:hAnsi="Times New Roman" w:cs="Times New Roman"/>
          <w:iCs/>
          <w:sz w:val="24"/>
          <w:szCs w:val="24"/>
        </w:rPr>
        <w:t>.</w:t>
      </w:r>
    </w:p>
    <w:p w14:paraId="16D1C564" w14:textId="3FFE0C99" w:rsidR="004C7D44" w:rsidRPr="003E7A82" w:rsidRDefault="004C7D44"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 xml:space="preserve">Fundación Escuela Bancaria y Comercial. (13 de julio de 2023). </w:t>
      </w:r>
      <w:r w:rsidRPr="003E7A82">
        <w:rPr>
          <w:rFonts w:ascii="Times New Roman" w:hAnsi="Times New Roman" w:cs="Times New Roman"/>
          <w:i/>
          <w:sz w:val="24"/>
          <w:szCs w:val="24"/>
        </w:rPr>
        <w:t>Problemática educativa</w:t>
      </w:r>
      <w:r w:rsidRPr="003E7A82">
        <w:rPr>
          <w:rFonts w:ascii="Times New Roman" w:hAnsi="Times New Roman" w:cs="Times New Roman"/>
          <w:iCs/>
          <w:sz w:val="24"/>
          <w:szCs w:val="24"/>
        </w:rPr>
        <w:t xml:space="preserve">. </w:t>
      </w:r>
      <w:r w:rsidR="00E40CF7" w:rsidRPr="003E7A82">
        <w:rPr>
          <w:rFonts w:ascii="Times New Roman" w:hAnsi="Times New Roman" w:cs="Times New Roman"/>
          <w:iCs/>
          <w:sz w:val="24"/>
          <w:szCs w:val="24"/>
        </w:rPr>
        <w:t>https://fundacionebc.org/problematica-educativa/</w:t>
      </w:r>
      <w:r w:rsidR="00BE7F4F" w:rsidRPr="003E7A82">
        <w:rPr>
          <w:rFonts w:ascii="Times New Roman" w:hAnsi="Times New Roman" w:cs="Times New Roman"/>
          <w:iCs/>
          <w:sz w:val="24"/>
          <w:szCs w:val="24"/>
        </w:rPr>
        <w:t>.</w:t>
      </w:r>
    </w:p>
    <w:p w14:paraId="04092042" w14:textId="4A06EBA7" w:rsidR="00E40CF7" w:rsidRPr="003E7A82" w:rsidRDefault="00E40CF7"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 xml:space="preserve">Gacel-Ávila, J. (1998). </w:t>
      </w:r>
      <w:r w:rsidRPr="003E7A82">
        <w:rPr>
          <w:rFonts w:ascii="Times New Roman" w:hAnsi="Times New Roman" w:cs="Times New Roman"/>
          <w:i/>
          <w:sz w:val="24"/>
          <w:szCs w:val="24"/>
        </w:rPr>
        <w:t>La internacionalización de las universidades mexicanas. Políticas y estrategias institucionales</w:t>
      </w:r>
      <w:r w:rsidR="00BE7F4F" w:rsidRPr="003E7A82">
        <w:rPr>
          <w:rFonts w:ascii="Times New Roman" w:hAnsi="Times New Roman" w:cs="Times New Roman"/>
          <w:i/>
          <w:sz w:val="24"/>
          <w:szCs w:val="24"/>
        </w:rPr>
        <w:t>.</w:t>
      </w:r>
      <w:r w:rsidRPr="003E7A82">
        <w:rPr>
          <w:rFonts w:ascii="Times New Roman" w:hAnsi="Times New Roman" w:cs="Times New Roman"/>
          <w:iCs/>
          <w:sz w:val="24"/>
          <w:szCs w:val="24"/>
        </w:rPr>
        <w:t xml:space="preserve"> </w:t>
      </w:r>
      <w:r w:rsidR="00BE7F4F" w:rsidRPr="003E7A82">
        <w:rPr>
          <w:rFonts w:ascii="Times New Roman" w:hAnsi="Times New Roman" w:cs="Times New Roman"/>
          <w:iCs/>
          <w:sz w:val="24"/>
          <w:szCs w:val="24"/>
        </w:rPr>
        <w:t xml:space="preserve">Ciudad de México, México: </w:t>
      </w:r>
      <w:r w:rsidRPr="003E7A82">
        <w:rPr>
          <w:rFonts w:ascii="Times New Roman" w:hAnsi="Times New Roman" w:cs="Times New Roman"/>
          <w:iCs/>
          <w:sz w:val="24"/>
          <w:szCs w:val="24"/>
        </w:rPr>
        <w:t>ANUIES</w:t>
      </w:r>
      <w:r w:rsidR="00BE7F4F" w:rsidRPr="003E7A82">
        <w:rPr>
          <w:rFonts w:ascii="Times New Roman" w:hAnsi="Times New Roman" w:cs="Times New Roman"/>
          <w:iCs/>
          <w:sz w:val="24"/>
          <w:szCs w:val="24"/>
        </w:rPr>
        <w:t>.</w:t>
      </w:r>
      <w:r w:rsidR="00831099" w:rsidRPr="003E7A82">
        <w:rPr>
          <w:rFonts w:ascii="Times New Roman" w:hAnsi="Times New Roman" w:cs="Times New Roman"/>
          <w:iCs/>
          <w:sz w:val="24"/>
          <w:szCs w:val="24"/>
        </w:rPr>
        <w:t xml:space="preserve"> https://www.ses.unam.mx/curso2009/materiales/m6/LecturaComplementaria/M6_Complemetaria_Gacel.pdf</w:t>
      </w:r>
      <w:r w:rsidR="00BE7F4F" w:rsidRPr="003E7A82">
        <w:rPr>
          <w:rFonts w:ascii="Times New Roman" w:hAnsi="Times New Roman" w:cs="Times New Roman"/>
          <w:iCs/>
          <w:sz w:val="24"/>
          <w:szCs w:val="24"/>
        </w:rPr>
        <w:t>.</w:t>
      </w:r>
    </w:p>
    <w:p w14:paraId="641ED0E7" w14:textId="75ED9B30" w:rsidR="00951061" w:rsidRPr="003E7A82" w:rsidRDefault="00EA69F9" w:rsidP="00E77F98">
      <w:pPr>
        <w:tabs>
          <w:tab w:val="left" w:pos="284"/>
        </w:tabs>
        <w:spacing w:before="40" w:after="40" w:line="360" w:lineRule="auto"/>
        <w:ind w:left="993" w:hanging="993"/>
        <w:jc w:val="both"/>
        <w:rPr>
          <w:rFonts w:ascii="Times New Roman" w:hAnsi="Times New Roman" w:cs="Times New Roman"/>
        </w:rPr>
      </w:pPr>
      <w:r w:rsidRPr="003E7A82">
        <w:rPr>
          <w:rFonts w:ascii="Times New Roman" w:hAnsi="Times New Roman" w:cs="Times New Roman"/>
          <w:iCs/>
          <w:sz w:val="24"/>
          <w:szCs w:val="24"/>
        </w:rPr>
        <w:t>Gal</w:t>
      </w:r>
      <w:r w:rsidR="00E77CCF" w:rsidRPr="003E7A82">
        <w:rPr>
          <w:rFonts w:ascii="Times New Roman" w:hAnsi="Times New Roman" w:cs="Times New Roman"/>
          <w:iCs/>
          <w:sz w:val="24"/>
          <w:szCs w:val="24"/>
        </w:rPr>
        <w:t>á</w:t>
      </w:r>
      <w:r w:rsidRPr="003E7A82">
        <w:rPr>
          <w:rFonts w:ascii="Times New Roman" w:hAnsi="Times New Roman" w:cs="Times New Roman"/>
          <w:iCs/>
          <w:sz w:val="24"/>
          <w:szCs w:val="24"/>
        </w:rPr>
        <w:t>n-Muros, V</w:t>
      </w:r>
      <w:r w:rsidR="00C37CD1" w:rsidRPr="003E7A82">
        <w:rPr>
          <w:rFonts w:ascii="Times New Roman" w:hAnsi="Times New Roman" w:cs="Times New Roman"/>
          <w:iCs/>
          <w:sz w:val="24"/>
          <w:szCs w:val="24"/>
        </w:rPr>
        <w:t>.</w:t>
      </w:r>
      <w:r w:rsidR="001E06ED" w:rsidRPr="003E7A82">
        <w:rPr>
          <w:rFonts w:ascii="Times New Roman" w:hAnsi="Times New Roman" w:cs="Times New Roman"/>
          <w:iCs/>
          <w:sz w:val="24"/>
          <w:szCs w:val="24"/>
        </w:rPr>
        <w:t xml:space="preserve"> y Hofer, A</w:t>
      </w:r>
      <w:r w:rsidR="00C37CD1" w:rsidRPr="003E7A82">
        <w:rPr>
          <w:rFonts w:ascii="Times New Roman" w:hAnsi="Times New Roman" w:cs="Times New Roman"/>
          <w:iCs/>
          <w:sz w:val="24"/>
          <w:szCs w:val="24"/>
        </w:rPr>
        <w:t>.</w:t>
      </w:r>
      <w:r w:rsidR="001E06ED" w:rsidRPr="003E7A82">
        <w:rPr>
          <w:rFonts w:ascii="Times New Roman" w:hAnsi="Times New Roman" w:cs="Times New Roman"/>
          <w:iCs/>
          <w:sz w:val="24"/>
          <w:szCs w:val="24"/>
        </w:rPr>
        <w:t xml:space="preserve"> R</w:t>
      </w:r>
      <w:r w:rsidR="00E20573" w:rsidRPr="003E7A82">
        <w:rPr>
          <w:rFonts w:ascii="Times New Roman" w:hAnsi="Times New Roman" w:cs="Times New Roman"/>
          <w:iCs/>
          <w:sz w:val="24"/>
          <w:szCs w:val="24"/>
        </w:rPr>
        <w:t>.</w:t>
      </w:r>
      <w:r w:rsidR="001E06ED" w:rsidRPr="003E7A82">
        <w:rPr>
          <w:rFonts w:ascii="Times New Roman" w:hAnsi="Times New Roman" w:cs="Times New Roman"/>
          <w:iCs/>
          <w:sz w:val="24"/>
          <w:szCs w:val="24"/>
        </w:rPr>
        <w:t xml:space="preserve"> (2019)</w:t>
      </w:r>
      <w:r w:rsidR="00E20573" w:rsidRPr="003E7A82">
        <w:rPr>
          <w:rFonts w:ascii="Times New Roman" w:hAnsi="Times New Roman" w:cs="Times New Roman"/>
          <w:iCs/>
          <w:sz w:val="24"/>
          <w:szCs w:val="24"/>
        </w:rPr>
        <w:t>.</w:t>
      </w:r>
      <w:r w:rsidR="001E06ED" w:rsidRPr="003E7A82">
        <w:rPr>
          <w:rFonts w:ascii="Times New Roman" w:hAnsi="Times New Roman" w:cs="Times New Roman"/>
          <w:iCs/>
          <w:sz w:val="24"/>
          <w:szCs w:val="24"/>
        </w:rPr>
        <w:t xml:space="preserve"> </w:t>
      </w:r>
      <w:r w:rsidR="00951061" w:rsidRPr="003E7A82">
        <w:rPr>
          <w:rFonts w:ascii="Times New Roman" w:hAnsi="Times New Roman" w:cs="Times New Roman"/>
          <w:i/>
          <w:sz w:val="24"/>
          <w:szCs w:val="24"/>
        </w:rPr>
        <w:t>Educación superior en México, resultados y relevancia para el mercado laboral</w:t>
      </w:r>
      <w:r w:rsidR="00BE7F4F" w:rsidRPr="003E7A82">
        <w:rPr>
          <w:rFonts w:ascii="Times New Roman" w:hAnsi="Times New Roman" w:cs="Times New Roman"/>
          <w:iCs/>
          <w:sz w:val="24"/>
          <w:szCs w:val="24"/>
        </w:rPr>
        <w:t>.</w:t>
      </w:r>
      <w:r w:rsidR="001E06ED" w:rsidRPr="003E7A82">
        <w:rPr>
          <w:rFonts w:ascii="Times New Roman" w:hAnsi="Times New Roman" w:cs="Times New Roman"/>
          <w:iCs/>
          <w:sz w:val="24"/>
          <w:szCs w:val="24"/>
        </w:rPr>
        <w:t xml:space="preserve"> </w:t>
      </w:r>
      <w:r w:rsidR="00BE7F4F" w:rsidRPr="003E7A82">
        <w:rPr>
          <w:rFonts w:ascii="Times New Roman" w:hAnsi="Times New Roman" w:cs="Times New Roman"/>
          <w:iCs/>
          <w:sz w:val="24"/>
          <w:szCs w:val="24"/>
        </w:rPr>
        <w:t xml:space="preserve">París, Francia. </w:t>
      </w:r>
      <w:r w:rsidR="006B62AD" w:rsidRPr="003E7A82">
        <w:rPr>
          <w:rFonts w:ascii="Times New Roman" w:hAnsi="Times New Roman" w:cs="Times New Roman"/>
          <w:iCs/>
          <w:sz w:val="24"/>
          <w:szCs w:val="24"/>
        </w:rPr>
        <w:t>OCDE</w:t>
      </w:r>
      <w:r w:rsidR="00E77CCF" w:rsidRPr="003E7A82">
        <w:rPr>
          <w:rFonts w:ascii="Times New Roman" w:hAnsi="Times New Roman" w:cs="Times New Roman"/>
          <w:iCs/>
          <w:sz w:val="24"/>
          <w:szCs w:val="24"/>
        </w:rPr>
        <w:t>, Fundación Alberto Balleres</w:t>
      </w:r>
      <w:r w:rsidR="00BE7F4F" w:rsidRPr="003E7A82">
        <w:rPr>
          <w:rFonts w:ascii="Times New Roman" w:hAnsi="Times New Roman" w:cs="Times New Roman"/>
          <w:iCs/>
          <w:sz w:val="24"/>
          <w:szCs w:val="24"/>
        </w:rPr>
        <w:t>.</w:t>
      </w:r>
      <w:r w:rsidR="00CB6AE2" w:rsidRPr="003E7A82">
        <w:rPr>
          <w:rFonts w:ascii="Times New Roman" w:hAnsi="Times New Roman" w:cs="Times New Roman"/>
          <w:iCs/>
          <w:sz w:val="24"/>
          <w:szCs w:val="24"/>
        </w:rPr>
        <w:t xml:space="preserve"> </w:t>
      </w:r>
      <w:r w:rsidR="00BE7F4F" w:rsidRPr="003E7A82">
        <w:rPr>
          <w:rFonts w:ascii="Times New Roman" w:hAnsi="Times New Roman" w:cs="Times New Roman"/>
          <w:iCs/>
          <w:sz w:val="24"/>
          <w:szCs w:val="24"/>
        </w:rPr>
        <w:t>https://www.oecd.org/employment/educacion-superior-en-mexico-a93ed2b7-es.htm</w:t>
      </w:r>
      <w:r w:rsidR="00CB6AE2" w:rsidRPr="003E7A82">
        <w:rPr>
          <w:rFonts w:ascii="Times New Roman" w:hAnsi="Times New Roman" w:cs="Times New Roman"/>
        </w:rPr>
        <w:t>.</w:t>
      </w:r>
    </w:p>
    <w:p w14:paraId="29D88479" w14:textId="7F5D00AF" w:rsidR="00AE1DB8" w:rsidRPr="003E7A82" w:rsidRDefault="00AE1DB8"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Galván</w:t>
      </w:r>
      <w:r w:rsidR="00CF75D2" w:rsidRPr="003E7A82">
        <w:rPr>
          <w:rFonts w:ascii="Times New Roman" w:hAnsi="Times New Roman" w:cs="Times New Roman"/>
          <w:iCs/>
          <w:sz w:val="24"/>
          <w:szCs w:val="24"/>
        </w:rPr>
        <w:t xml:space="preserve"> Sánchez, I</w:t>
      </w:r>
      <w:r w:rsidR="00D52884" w:rsidRPr="003E7A82">
        <w:rPr>
          <w:rFonts w:ascii="Times New Roman" w:hAnsi="Times New Roman" w:cs="Times New Roman"/>
          <w:iCs/>
          <w:sz w:val="24"/>
          <w:szCs w:val="24"/>
        </w:rPr>
        <w:t>.</w:t>
      </w:r>
      <w:r w:rsidR="00CF75D2" w:rsidRPr="003E7A82">
        <w:rPr>
          <w:rFonts w:ascii="Times New Roman" w:hAnsi="Times New Roman" w:cs="Times New Roman"/>
          <w:iCs/>
          <w:sz w:val="24"/>
          <w:szCs w:val="24"/>
        </w:rPr>
        <w:t xml:space="preserve"> (2003)</w:t>
      </w:r>
      <w:r w:rsidR="00D52884" w:rsidRPr="003E7A82">
        <w:rPr>
          <w:rFonts w:ascii="Times New Roman" w:hAnsi="Times New Roman" w:cs="Times New Roman"/>
          <w:iCs/>
          <w:sz w:val="24"/>
          <w:szCs w:val="24"/>
        </w:rPr>
        <w:t>.</w:t>
      </w:r>
      <w:r w:rsidR="00CF75D2" w:rsidRPr="003E7A82">
        <w:rPr>
          <w:rFonts w:ascii="Times New Roman" w:hAnsi="Times New Roman" w:cs="Times New Roman"/>
          <w:iCs/>
          <w:sz w:val="24"/>
          <w:szCs w:val="24"/>
        </w:rPr>
        <w:t xml:space="preserve"> </w:t>
      </w:r>
      <w:r w:rsidR="00CF75D2" w:rsidRPr="003E7A82">
        <w:rPr>
          <w:rFonts w:ascii="Times New Roman" w:hAnsi="Times New Roman" w:cs="Times New Roman"/>
          <w:i/>
          <w:sz w:val="24"/>
          <w:szCs w:val="24"/>
        </w:rPr>
        <w:t>La calidad de las instituciones de educación superior (IES) privadas en Zacatecas: relevancia y eficiencia</w:t>
      </w:r>
      <w:r w:rsidR="0099151A" w:rsidRPr="003E7A82">
        <w:rPr>
          <w:rFonts w:ascii="Times New Roman" w:hAnsi="Times New Roman" w:cs="Times New Roman"/>
          <w:i/>
          <w:sz w:val="24"/>
          <w:szCs w:val="24"/>
        </w:rPr>
        <w:t xml:space="preserve"> </w:t>
      </w:r>
      <w:r w:rsidR="000C5764" w:rsidRPr="003E7A82">
        <w:rPr>
          <w:rFonts w:ascii="Times New Roman" w:hAnsi="Times New Roman" w:cs="Times New Roman"/>
          <w:iCs/>
          <w:sz w:val="24"/>
          <w:szCs w:val="24"/>
        </w:rPr>
        <w:t>[</w:t>
      </w:r>
      <w:r w:rsidR="00C32676" w:rsidRPr="003E7A82">
        <w:rPr>
          <w:rFonts w:ascii="Times New Roman" w:hAnsi="Times New Roman" w:cs="Times New Roman"/>
          <w:iCs/>
          <w:sz w:val="24"/>
          <w:szCs w:val="24"/>
        </w:rPr>
        <w:t>T</w:t>
      </w:r>
      <w:r w:rsidR="0099151A" w:rsidRPr="003E7A82">
        <w:rPr>
          <w:rFonts w:ascii="Times New Roman" w:hAnsi="Times New Roman" w:cs="Times New Roman"/>
          <w:iCs/>
          <w:sz w:val="24"/>
          <w:szCs w:val="24"/>
        </w:rPr>
        <w:t xml:space="preserve">esis de doctorado, </w:t>
      </w:r>
      <w:r w:rsidR="00BE7F4F" w:rsidRPr="003E7A82">
        <w:rPr>
          <w:rFonts w:ascii="Times New Roman" w:hAnsi="Times New Roman" w:cs="Times New Roman"/>
          <w:iCs/>
          <w:sz w:val="24"/>
          <w:szCs w:val="24"/>
        </w:rPr>
        <w:t xml:space="preserve">inédita. </w:t>
      </w:r>
      <w:r w:rsidR="0099151A" w:rsidRPr="003E7A82">
        <w:rPr>
          <w:rFonts w:ascii="Times New Roman" w:hAnsi="Times New Roman" w:cs="Times New Roman"/>
          <w:iCs/>
          <w:sz w:val="24"/>
          <w:szCs w:val="24"/>
        </w:rPr>
        <w:t>Universidad de la</w:t>
      </w:r>
      <w:r w:rsidR="00BB4B50" w:rsidRPr="003E7A82">
        <w:rPr>
          <w:rFonts w:ascii="Times New Roman" w:hAnsi="Times New Roman" w:cs="Times New Roman"/>
          <w:iCs/>
          <w:sz w:val="24"/>
          <w:szCs w:val="24"/>
        </w:rPr>
        <w:t>s</w:t>
      </w:r>
      <w:r w:rsidR="0099151A" w:rsidRPr="003E7A82">
        <w:rPr>
          <w:rFonts w:ascii="Times New Roman" w:hAnsi="Times New Roman" w:cs="Times New Roman"/>
          <w:iCs/>
          <w:sz w:val="24"/>
          <w:szCs w:val="24"/>
        </w:rPr>
        <w:t xml:space="preserve"> </w:t>
      </w:r>
      <w:r w:rsidR="00BB4B50" w:rsidRPr="003E7A82">
        <w:rPr>
          <w:rFonts w:ascii="Times New Roman" w:hAnsi="Times New Roman" w:cs="Times New Roman"/>
          <w:iCs/>
          <w:sz w:val="24"/>
          <w:szCs w:val="24"/>
        </w:rPr>
        <w:t>Palmas de Gran Canaria</w:t>
      </w:r>
      <w:r w:rsidR="000C5764" w:rsidRPr="003E7A82">
        <w:rPr>
          <w:rFonts w:ascii="Times New Roman" w:hAnsi="Times New Roman" w:cs="Times New Roman"/>
          <w:iCs/>
          <w:sz w:val="24"/>
          <w:szCs w:val="24"/>
        </w:rPr>
        <w:t>]</w:t>
      </w:r>
      <w:r w:rsidR="00C32676" w:rsidRPr="003E7A82">
        <w:rPr>
          <w:rFonts w:ascii="Times New Roman" w:hAnsi="Times New Roman" w:cs="Times New Roman"/>
          <w:iCs/>
          <w:sz w:val="24"/>
          <w:szCs w:val="24"/>
        </w:rPr>
        <w:t>.</w:t>
      </w:r>
      <w:r w:rsidR="00D52884" w:rsidRPr="003E7A82">
        <w:rPr>
          <w:rFonts w:ascii="Times New Roman" w:hAnsi="Times New Roman" w:cs="Times New Roman"/>
          <w:iCs/>
          <w:sz w:val="24"/>
          <w:szCs w:val="24"/>
        </w:rPr>
        <w:t xml:space="preserve"> </w:t>
      </w:r>
      <w:hyperlink r:id="rId22" w:history="1">
        <w:r w:rsidR="00D52884" w:rsidRPr="003E7A82">
          <w:rPr>
            <w:rStyle w:val="Hipervnculo"/>
            <w:rFonts w:ascii="Times New Roman" w:hAnsi="Times New Roman" w:cs="Times New Roman"/>
            <w:iCs/>
            <w:sz w:val="24"/>
            <w:szCs w:val="24"/>
          </w:rPr>
          <w:t>http://hdl.handle.net/10553/20550</w:t>
        </w:r>
      </w:hyperlink>
      <w:r w:rsidR="0052624A" w:rsidRPr="003E7A82">
        <w:rPr>
          <w:rFonts w:ascii="Times New Roman" w:hAnsi="Times New Roman" w:cs="Times New Roman"/>
          <w:iCs/>
          <w:sz w:val="24"/>
          <w:szCs w:val="24"/>
        </w:rPr>
        <w:t>.</w:t>
      </w:r>
    </w:p>
    <w:p w14:paraId="18F5CC63" w14:textId="2DF038F4" w:rsidR="00392DD8" w:rsidRPr="003E7A82" w:rsidRDefault="00BD51ED" w:rsidP="00E77F98">
      <w:pPr>
        <w:tabs>
          <w:tab w:val="left" w:pos="284"/>
        </w:tabs>
        <w:spacing w:before="40" w:after="40" w:line="360" w:lineRule="auto"/>
        <w:ind w:left="993" w:hanging="993"/>
        <w:jc w:val="both"/>
        <w:rPr>
          <w:rFonts w:ascii="Times New Roman" w:hAnsi="Times New Roman" w:cs="Times New Roman"/>
          <w:sz w:val="24"/>
          <w:szCs w:val="24"/>
        </w:rPr>
      </w:pPr>
      <w:r w:rsidRPr="003E7A82">
        <w:rPr>
          <w:rFonts w:ascii="Times New Roman" w:hAnsi="Times New Roman" w:cs="Times New Roman"/>
          <w:sz w:val="24"/>
          <w:szCs w:val="24"/>
        </w:rPr>
        <w:t xml:space="preserve">Gutiérrez Gómez, R. </w:t>
      </w:r>
      <w:r w:rsidR="00D52884" w:rsidRPr="003E7A82">
        <w:rPr>
          <w:rFonts w:ascii="Times New Roman" w:hAnsi="Times New Roman" w:cs="Times New Roman"/>
          <w:sz w:val="24"/>
          <w:szCs w:val="24"/>
        </w:rPr>
        <w:t xml:space="preserve">(1999). </w:t>
      </w:r>
      <w:r w:rsidRPr="003E7A82">
        <w:rPr>
          <w:rFonts w:ascii="Times New Roman" w:hAnsi="Times New Roman" w:cs="Times New Roman"/>
          <w:sz w:val="24"/>
          <w:szCs w:val="24"/>
        </w:rPr>
        <w:t>La oferta y la demanda de los egresados de la UAEM: hacia otra perspectiva de la elección vocacional</w:t>
      </w:r>
      <w:r w:rsidR="000C5764" w:rsidRPr="003E7A82">
        <w:rPr>
          <w:rFonts w:ascii="Times New Roman" w:hAnsi="Times New Roman" w:cs="Times New Roman"/>
          <w:sz w:val="24"/>
          <w:szCs w:val="24"/>
        </w:rPr>
        <w:t>.</w:t>
      </w:r>
      <w:r w:rsidRPr="003E7A82">
        <w:rPr>
          <w:rFonts w:ascii="Times New Roman" w:hAnsi="Times New Roman" w:cs="Times New Roman"/>
          <w:sz w:val="24"/>
          <w:szCs w:val="24"/>
        </w:rPr>
        <w:t xml:space="preserve"> </w:t>
      </w:r>
      <w:r w:rsidRPr="003E7A82">
        <w:rPr>
          <w:rFonts w:ascii="Times New Roman" w:hAnsi="Times New Roman" w:cs="Times New Roman"/>
          <w:i/>
          <w:iCs/>
          <w:sz w:val="24"/>
          <w:szCs w:val="24"/>
        </w:rPr>
        <w:t>Tiempo de Educar</w:t>
      </w:r>
      <w:r w:rsidRPr="003E7A82">
        <w:rPr>
          <w:rFonts w:ascii="Times New Roman" w:hAnsi="Times New Roman" w:cs="Times New Roman"/>
          <w:sz w:val="24"/>
          <w:szCs w:val="24"/>
        </w:rPr>
        <w:t xml:space="preserve">, </w:t>
      </w:r>
      <w:r w:rsidRPr="003E7A82">
        <w:rPr>
          <w:rFonts w:ascii="Times New Roman" w:hAnsi="Times New Roman" w:cs="Times New Roman"/>
          <w:i/>
          <w:iCs/>
          <w:sz w:val="24"/>
          <w:szCs w:val="24"/>
        </w:rPr>
        <w:t>1</w:t>
      </w:r>
      <w:r w:rsidR="00C32676" w:rsidRPr="003E7A82">
        <w:rPr>
          <w:rFonts w:ascii="Times New Roman" w:hAnsi="Times New Roman" w:cs="Times New Roman"/>
          <w:sz w:val="24"/>
          <w:szCs w:val="24"/>
        </w:rPr>
        <w:t>(</w:t>
      </w:r>
      <w:r w:rsidRPr="003E7A82">
        <w:rPr>
          <w:rFonts w:ascii="Times New Roman" w:hAnsi="Times New Roman" w:cs="Times New Roman"/>
          <w:sz w:val="24"/>
          <w:szCs w:val="24"/>
        </w:rPr>
        <w:t>2</w:t>
      </w:r>
      <w:r w:rsidR="00C32676" w:rsidRPr="003E7A82">
        <w:rPr>
          <w:rFonts w:ascii="Times New Roman" w:hAnsi="Times New Roman" w:cs="Times New Roman"/>
          <w:sz w:val="24"/>
          <w:szCs w:val="24"/>
        </w:rPr>
        <w:t>)</w:t>
      </w:r>
      <w:r w:rsidRPr="003E7A82">
        <w:rPr>
          <w:rFonts w:ascii="Times New Roman" w:hAnsi="Times New Roman" w:cs="Times New Roman"/>
          <w:sz w:val="24"/>
          <w:szCs w:val="24"/>
        </w:rPr>
        <w:t xml:space="preserve"> 31-70</w:t>
      </w:r>
      <w:r w:rsidR="00C32676" w:rsidRPr="003E7A82">
        <w:rPr>
          <w:rFonts w:ascii="Times New Roman" w:hAnsi="Times New Roman" w:cs="Times New Roman"/>
          <w:sz w:val="24"/>
          <w:szCs w:val="24"/>
        </w:rPr>
        <w:t>.</w:t>
      </w:r>
    </w:p>
    <w:p w14:paraId="0E98642F" w14:textId="038C4854" w:rsidR="008770FE" w:rsidRPr="003E7A82" w:rsidRDefault="008770FE"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Herrera Guzmán, B. (2010)</w:t>
      </w:r>
      <w:r w:rsidR="00C73993"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Pr="003E7A82">
        <w:rPr>
          <w:rFonts w:ascii="Times New Roman" w:hAnsi="Times New Roman" w:cs="Times New Roman"/>
          <w:i/>
          <w:sz w:val="24"/>
          <w:szCs w:val="24"/>
        </w:rPr>
        <w:t>La calidad de las instituciones de educación superior (IES) privadas en Zacatecas: relevancia y eficiencia</w:t>
      </w:r>
      <w:r w:rsidR="000C5764"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000C5764" w:rsidRPr="003E7A82">
        <w:rPr>
          <w:rFonts w:ascii="Times New Roman" w:hAnsi="Times New Roman" w:cs="Times New Roman"/>
          <w:iCs/>
          <w:sz w:val="24"/>
          <w:szCs w:val="24"/>
        </w:rPr>
        <w:t>[T</w:t>
      </w:r>
      <w:r w:rsidRPr="003E7A82">
        <w:rPr>
          <w:rFonts w:ascii="Times New Roman" w:hAnsi="Times New Roman" w:cs="Times New Roman"/>
          <w:iCs/>
          <w:sz w:val="24"/>
          <w:szCs w:val="24"/>
        </w:rPr>
        <w:t xml:space="preserve">esis de doctorado, </w:t>
      </w:r>
      <w:r w:rsidR="00C32676" w:rsidRPr="003E7A82">
        <w:rPr>
          <w:rFonts w:ascii="Times New Roman" w:hAnsi="Times New Roman" w:cs="Times New Roman"/>
          <w:iCs/>
          <w:sz w:val="24"/>
          <w:szCs w:val="24"/>
        </w:rPr>
        <w:t xml:space="preserve">inédita) </w:t>
      </w:r>
      <w:r w:rsidRPr="003E7A82">
        <w:rPr>
          <w:rFonts w:ascii="Times New Roman" w:hAnsi="Times New Roman" w:cs="Times New Roman"/>
          <w:iCs/>
          <w:sz w:val="24"/>
          <w:szCs w:val="24"/>
        </w:rPr>
        <w:t>U</w:t>
      </w:r>
      <w:r w:rsidR="00C32676" w:rsidRPr="003E7A82">
        <w:rPr>
          <w:rFonts w:ascii="Times New Roman" w:hAnsi="Times New Roman" w:cs="Times New Roman"/>
          <w:iCs/>
          <w:sz w:val="24"/>
          <w:szCs w:val="24"/>
        </w:rPr>
        <w:t xml:space="preserve">niversidad </w:t>
      </w:r>
      <w:r w:rsidRPr="003E7A82">
        <w:rPr>
          <w:rFonts w:ascii="Times New Roman" w:hAnsi="Times New Roman" w:cs="Times New Roman"/>
          <w:iCs/>
          <w:sz w:val="24"/>
          <w:szCs w:val="24"/>
        </w:rPr>
        <w:t>N</w:t>
      </w:r>
      <w:r w:rsidR="00C32676" w:rsidRPr="003E7A82">
        <w:rPr>
          <w:rFonts w:ascii="Times New Roman" w:hAnsi="Times New Roman" w:cs="Times New Roman"/>
          <w:iCs/>
          <w:sz w:val="24"/>
          <w:szCs w:val="24"/>
        </w:rPr>
        <w:t xml:space="preserve">acional </w:t>
      </w:r>
      <w:r w:rsidRPr="003E7A82">
        <w:rPr>
          <w:rFonts w:ascii="Times New Roman" w:hAnsi="Times New Roman" w:cs="Times New Roman"/>
          <w:iCs/>
          <w:sz w:val="24"/>
          <w:szCs w:val="24"/>
        </w:rPr>
        <w:t>A</w:t>
      </w:r>
      <w:r w:rsidR="00C32676" w:rsidRPr="003E7A82">
        <w:rPr>
          <w:rFonts w:ascii="Times New Roman" w:hAnsi="Times New Roman" w:cs="Times New Roman"/>
          <w:iCs/>
          <w:sz w:val="24"/>
          <w:szCs w:val="24"/>
        </w:rPr>
        <w:t xml:space="preserve">utónoma de </w:t>
      </w:r>
      <w:r w:rsidRPr="003E7A82">
        <w:rPr>
          <w:rFonts w:ascii="Times New Roman" w:hAnsi="Times New Roman" w:cs="Times New Roman"/>
          <w:iCs/>
          <w:sz w:val="24"/>
          <w:szCs w:val="24"/>
        </w:rPr>
        <w:t>M</w:t>
      </w:r>
      <w:r w:rsidR="00C32676" w:rsidRPr="003E7A82">
        <w:rPr>
          <w:rFonts w:ascii="Times New Roman" w:hAnsi="Times New Roman" w:cs="Times New Roman"/>
          <w:iCs/>
          <w:sz w:val="24"/>
          <w:szCs w:val="24"/>
        </w:rPr>
        <w:t>éxico</w:t>
      </w:r>
      <w:r w:rsidR="000C5764" w:rsidRPr="003E7A82">
        <w:rPr>
          <w:rFonts w:ascii="Times New Roman" w:hAnsi="Times New Roman" w:cs="Times New Roman"/>
          <w:iCs/>
          <w:sz w:val="24"/>
          <w:szCs w:val="24"/>
        </w:rPr>
        <w:t>]</w:t>
      </w:r>
      <w:r w:rsidRPr="003E7A82">
        <w:rPr>
          <w:rFonts w:ascii="Times New Roman" w:hAnsi="Times New Roman" w:cs="Times New Roman"/>
          <w:iCs/>
          <w:sz w:val="24"/>
          <w:szCs w:val="24"/>
        </w:rPr>
        <w:t>.</w:t>
      </w:r>
      <w:r w:rsidR="00C73993"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https://www.eumed.net/tesis-doctorales/2013/bhg/educacion-superior-en-mexico.html</w:t>
      </w:r>
      <w:r w:rsidR="00C32676" w:rsidRPr="003E7A82">
        <w:rPr>
          <w:rFonts w:ascii="Times New Roman" w:hAnsi="Times New Roman" w:cs="Times New Roman"/>
          <w:iCs/>
          <w:sz w:val="24"/>
          <w:szCs w:val="24"/>
        </w:rPr>
        <w:t>.</w:t>
      </w:r>
    </w:p>
    <w:p w14:paraId="67648981" w14:textId="50DB3409" w:rsidR="00D32A84" w:rsidRPr="003E7A82" w:rsidRDefault="00D32A84"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Hymer, S. (1976)</w:t>
      </w:r>
      <w:r w:rsidR="00C73993"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Pr="003E7A82">
        <w:rPr>
          <w:rFonts w:ascii="Times New Roman" w:hAnsi="Times New Roman" w:cs="Times New Roman"/>
          <w:i/>
          <w:sz w:val="24"/>
          <w:szCs w:val="24"/>
        </w:rPr>
        <w:t>Las operaciones internacionales de las empresas nacionales: un estudio de la inversión extranjera directa</w:t>
      </w:r>
      <w:r w:rsidR="00C32676"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00C32676" w:rsidRPr="003E7A82">
        <w:rPr>
          <w:rFonts w:ascii="Times New Roman" w:hAnsi="Times New Roman" w:cs="Times New Roman"/>
          <w:iCs/>
          <w:sz w:val="24"/>
          <w:szCs w:val="24"/>
        </w:rPr>
        <w:t xml:space="preserve">Cambridge, MA, Estados Unidos: </w:t>
      </w:r>
      <w:r w:rsidRPr="003E7A82">
        <w:rPr>
          <w:rFonts w:ascii="Times New Roman" w:hAnsi="Times New Roman" w:cs="Times New Roman"/>
          <w:iCs/>
          <w:sz w:val="24"/>
          <w:szCs w:val="24"/>
        </w:rPr>
        <w:t>MIT Press.</w:t>
      </w:r>
    </w:p>
    <w:p w14:paraId="4B7232DC" w14:textId="26B3BA1E" w:rsidR="009A6269" w:rsidRPr="003E7A82" w:rsidRDefault="009A6269"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IMSC</w:t>
      </w:r>
      <w:r w:rsidR="00C73993"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(2019)</w:t>
      </w:r>
      <w:r w:rsidR="009513C6"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El modelo educativo de Finlandia, un ejemplo para el mundo</w:t>
      </w:r>
      <w:r w:rsidR="00B02E7F" w:rsidRPr="003E7A82">
        <w:rPr>
          <w:rFonts w:ascii="Times New Roman" w:hAnsi="Times New Roman" w:cs="Times New Roman"/>
          <w:iCs/>
          <w:sz w:val="24"/>
          <w:szCs w:val="24"/>
        </w:rPr>
        <w:t xml:space="preserve">. </w:t>
      </w:r>
      <w:r w:rsidR="00B02E7F" w:rsidRPr="003E7A82">
        <w:rPr>
          <w:rFonts w:ascii="Times New Roman" w:hAnsi="Times New Roman" w:cs="Times New Roman"/>
          <w:i/>
          <w:sz w:val="24"/>
          <w:szCs w:val="24"/>
        </w:rPr>
        <w:t>Caracoliris</w:t>
      </w:r>
      <w:r w:rsidR="00B02E7F" w:rsidRPr="003E7A82">
        <w:rPr>
          <w:rFonts w:ascii="Times New Roman" w:hAnsi="Times New Roman" w:cs="Times New Roman"/>
          <w:iCs/>
          <w:sz w:val="24"/>
          <w:szCs w:val="24"/>
        </w:rPr>
        <w:t>.</w:t>
      </w:r>
      <w:r w:rsidR="005865E9" w:rsidRPr="003E7A82">
        <w:rPr>
          <w:rFonts w:ascii="Times New Roman" w:hAnsi="Times New Roman" w:cs="Times New Roman"/>
          <w:iCs/>
          <w:sz w:val="24"/>
          <w:szCs w:val="24"/>
        </w:rPr>
        <w:t xml:space="preserve"> </w:t>
      </w:r>
      <w:hyperlink r:id="rId23" w:history="1">
        <w:r w:rsidR="005865E9" w:rsidRPr="003E7A82">
          <w:rPr>
            <w:rStyle w:val="Hipervnculo"/>
            <w:rFonts w:ascii="Times New Roman" w:hAnsi="Times New Roman" w:cs="Times New Roman"/>
            <w:iCs/>
            <w:color w:val="auto"/>
            <w:sz w:val="24"/>
            <w:szCs w:val="24"/>
          </w:rPr>
          <w:t>https://www.imsc.es/noticias/modelo-educativo-finlandia/</w:t>
        </w:r>
      </w:hyperlink>
      <w:r w:rsidR="005865E9" w:rsidRPr="003E7A82">
        <w:rPr>
          <w:rFonts w:ascii="Times New Roman" w:hAnsi="Times New Roman" w:cs="Times New Roman"/>
          <w:iCs/>
          <w:sz w:val="24"/>
          <w:szCs w:val="24"/>
        </w:rPr>
        <w:t>.</w:t>
      </w:r>
    </w:p>
    <w:p w14:paraId="0EE6A3C8" w14:textId="332D5ABB" w:rsidR="00A03EED" w:rsidRPr="003E7A82" w:rsidRDefault="00A03EED" w:rsidP="00E77F98">
      <w:pPr>
        <w:tabs>
          <w:tab w:val="left" w:pos="284"/>
        </w:tabs>
        <w:spacing w:before="40" w:after="40" w:line="360" w:lineRule="auto"/>
        <w:ind w:left="993" w:hanging="993"/>
        <w:jc w:val="both"/>
        <w:rPr>
          <w:rFonts w:ascii="Times New Roman" w:hAnsi="Times New Roman" w:cs="Times New Roman"/>
          <w:iCs/>
          <w:sz w:val="24"/>
          <w:szCs w:val="24"/>
        </w:rPr>
      </w:pPr>
      <w:proofErr w:type="spellStart"/>
      <w:r w:rsidRPr="003E7A82">
        <w:rPr>
          <w:rFonts w:ascii="Times New Roman" w:hAnsi="Times New Roman" w:cs="Times New Roman"/>
          <w:iCs/>
          <w:sz w:val="24"/>
          <w:szCs w:val="24"/>
        </w:rPr>
        <w:t>Infofinland</w:t>
      </w:r>
      <w:proofErr w:type="spellEnd"/>
      <w:r w:rsidR="009513C6"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(2023)</w:t>
      </w:r>
      <w:r w:rsidR="009513C6"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Pr="003E7A82">
        <w:rPr>
          <w:rFonts w:ascii="Times New Roman" w:hAnsi="Times New Roman" w:cs="Times New Roman"/>
          <w:i/>
          <w:sz w:val="24"/>
          <w:szCs w:val="24"/>
        </w:rPr>
        <w:t>Formación Profesional</w:t>
      </w:r>
      <w:r w:rsidR="00B02E7F" w:rsidRPr="003E7A82">
        <w:rPr>
          <w:rFonts w:ascii="Times New Roman" w:hAnsi="Times New Roman" w:cs="Times New Roman"/>
          <w:i/>
          <w:sz w:val="24"/>
          <w:szCs w:val="24"/>
        </w:rPr>
        <w:t xml:space="preserve">. </w:t>
      </w:r>
      <w:proofErr w:type="spellStart"/>
      <w:r w:rsidR="00B02E7F" w:rsidRPr="003E7A82">
        <w:rPr>
          <w:rFonts w:ascii="Times New Roman" w:hAnsi="Times New Roman" w:cs="Times New Roman"/>
          <w:iCs/>
          <w:sz w:val="24"/>
          <w:szCs w:val="24"/>
        </w:rPr>
        <w:t>Infofinland</w:t>
      </w:r>
      <w:proofErr w:type="spellEnd"/>
      <w:r w:rsidR="00B02E7F"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hyperlink r:id="rId24" w:history="1">
        <w:r w:rsidRPr="003E7A82">
          <w:rPr>
            <w:rStyle w:val="Hipervnculo"/>
            <w:rFonts w:ascii="Times New Roman" w:hAnsi="Times New Roman" w:cs="Times New Roman"/>
            <w:iCs/>
            <w:color w:val="auto"/>
            <w:sz w:val="24"/>
            <w:szCs w:val="24"/>
          </w:rPr>
          <w:t>https://www.infofinland.fi/es/education/vocational-education-and-training</w:t>
        </w:r>
      </w:hyperlink>
      <w:r w:rsidRPr="003E7A82">
        <w:rPr>
          <w:rFonts w:ascii="Times New Roman" w:hAnsi="Times New Roman" w:cs="Times New Roman"/>
          <w:iCs/>
          <w:sz w:val="24"/>
          <w:szCs w:val="24"/>
        </w:rPr>
        <w:t>.</w:t>
      </w:r>
    </w:p>
    <w:p w14:paraId="33D19619" w14:textId="77777777" w:rsidR="00FF32F4" w:rsidRDefault="00FF32F4" w:rsidP="00E77F98">
      <w:pPr>
        <w:tabs>
          <w:tab w:val="left" w:pos="284"/>
        </w:tabs>
        <w:spacing w:before="40" w:after="40" w:line="360" w:lineRule="auto"/>
        <w:ind w:left="993" w:hanging="993"/>
        <w:jc w:val="both"/>
        <w:rPr>
          <w:rStyle w:val="Hipervnculo"/>
          <w:rFonts w:ascii="Times New Roman" w:hAnsi="Times New Roman" w:cs="Times New Roman"/>
          <w:iCs/>
          <w:sz w:val="24"/>
          <w:szCs w:val="24"/>
        </w:rPr>
      </w:pPr>
      <w:r w:rsidRPr="00AB7C57">
        <w:rPr>
          <w:rFonts w:ascii="Times New Roman" w:hAnsi="Times New Roman" w:cs="Times New Roman"/>
          <w:iCs/>
          <w:sz w:val="24"/>
          <w:szCs w:val="24"/>
        </w:rPr>
        <w:lastRenderedPageBreak/>
        <w:t>IPEDS</w:t>
      </w:r>
      <w:r>
        <w:rPr>
          <w:rFonts w:ascii="Times New Roman" w:hAnsi="Times New Roman" w:cs="Times New Roman"/>
          <w:iCs/>
          <w:sz w:val="24"/>
          <w:szCs w:val="24"/>
        </w:rPr>
        <w:t xml:space="preserve"> (2024</w:t>
      </w:r>
      <w:r w:rsidRPr="00AB7C57">
        <w:rPr>
          <w:rFonts w:ascii="Times New Roman" w:hAnsi="Times New Roman" w:cs="Times New Roman"/>
          <w:iCs/>
          <w:sz w:val="24"/>
          <w:szCs w:val="24"/>
        </w:rPr>
        <w:t>). Modelo de proyección de inscripción en instituciones que otorgan títulos, hasta 2031. Departamento de Educación de EE. UU., Centro Nacional de Estadísticas de Educación, primavera de 2011 a primavera de 2022, componente de inscripción de otoño</w:t>
      </w:r>
      <w:r>
        <w:rPr>
          <w:rFonts w:ascii="Times New Roman" w:hAnsi="Times New Roman" w:cs="Times New Roman"/>
          <w:iCs/>
          <w:sz w:val="24"/>
          <w:szCs w:val="24"/>
        </w:rPr>
        <w:t>,</w:t>
      </w:r>
      <w:r w:rsidRPr="00AB7C57">
        <w:rPr>
          <w:rFonts w:ascii="Times New Roman" w:hAnsi="Times New Roman" w:cs="Times New Roman"/>
          <w:iCs/>
          <w:sz w:val="24"/>
          <w:szCs w:val="24"/>
        </w:rPr>
        <w:t xml:space="preserve"> Compendio de Estadísticas de Educación 2022 tabla 303.70</w:t>
      </w:r>
      <w:r>
        <w:rPr>
          <w:rFonts w:ascii="Times New Roman" w:hAnsi="Times New Roman" w:cs="Times New Roman"/>
          <w:iCs/>
          <w:sz w:val="24"/>
          <w:szCs w:val="24"/>
        </w:rPr>
        <w:t xml:space="preserve">. </w:t>
      </w:r>
      <w:hyperlink r:id="rId25" w:history="1">
        <w:r w:rsidRPr="00FF32F4">
          <w:rPr>
            <w:rStyle w:val="Hipervnculo"/>
            <w:rFonts w:ascii="Times New Roman" w:hAnsi="Times New Roman" w:cs="Times New Roman"/>
            <w:iCs/>
            <w:sz w:val="24"/>
            <w:szCs w:val="24"/>
          </w:rPr>
          <w:t>https://nces.ed.gov/programs/coe/indicator/cha/undergrad-enrollment</w:t>
        </w:r>
      </w:hyperlink>
    </w:p>
    <w:p w14:paraId="31930392" w14:textId="4D6842A5" w:rsidR="00226730" w:rsidRPr="003E7A82" w:rsidRDefault="00054664" w:rsidP="00E77F98">
      <w:pPr>
        <w:tabs>
          <w:tab w:val="left" w:pos="284"/>
        </w:tabs>
        <w:spacing w:before="40" w:after="40" w:line="360" w:lineRule="auto"/>
        <w:ind w:left="993" w:hanging="993"/>
        <w:jc w:val="both"/>
        <w:rPr>
          <w:rFonts w:ascii="Times New Roman" w:hAnsi="Times New Roman" w:cs="Times New Roman"/>
          <w:iCs/>
          <w:sz w:val="24"/>
          <w:szCs w:val="24"/>
        </w:rPr>
      </w:pPr>
      <w:proofErr w:type="spellStart"/>
      <w:r w:rsidRPr="003E7A82">
        <w:rPr>
          <w:rFonts w:ascii="Times New Roman" w:hAnsi="Times New Roman" w:cs="Times New Roman"/>
          <w:iCs/>
          <w:sz w:val="24"/>
          <w:szCs w:val="24"/>
        </w:rPr>
        <w:t>Japsen</w:t>
      </w:r>
      <w:proofErr w:type="spellEnd"/>
      <w:r w:rsidRPr="003E7A82">
        <w:rPr>
          <w:rFonts w:ascii="Times New Roman" w:hAnsi="Times New Roman" w:cs="Times New Roman"/>
          <w:iCs/>
          <w:sz w:val="24"/>
          <w:szCs w:val="24"/>
        </w:rPr>
        <w:t>, B</w:t>
      </w:r>
      <w:r w:rsidR="00E20573"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(2020)</w:t>
      </w:r>
      <w:r w:rsidR="00E20573"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00226730" w:rsidRPr="003E7A82">
        <w:rPr>
          <w:rFonts w:ascii="Times New Roman" w:hAnsi="Times New Roman" w:cs="Times New Roman"/>
          <w:iCs/>
          <w:sz w:val="24"/>
          <w:szCs w:val="24"/>
        </w:rPr>
        <w:t>La pandemia hace que el mercado laboral de los médicos se vea afectado por la demanda</w:t>
      </w:r>
      <w:r w:rsidR="00B02E7F"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00977864" w:rsidRPr="003E7A82">
        <w:rPr>
          <w:rFonts w:ascii="Times New Roman" w:hAnsi="Times New Roman" w:cs="Times New Roman"/>
          <w:i/>
          <w:sz w:val="24"/>
          <w:szCs w:val="24"/>
        </w:rPr>
        <w:t>Forbes</w:t>
      </w:r>
      <w:r w:rsidR="00B02E7F" w:rsidRPr="003E7A82">
        <w:rPr>
          <w:rFonts w:ascii="Times New Roman" w:hAnsi="Times New Roman" w:cs="Times New Roman"/>
          <w:iCs/>
          <w:sz w:val="24"/>
          <w:szCs w:val="24"/>
        </w:rPr>
        <w:t>.</w:t>
      </w:r>
      <w:r w:rsidR="004E453F" w:rsidRPr="003E7A82">
        <w:rPr>
          <w:rFonts w:ascii="Times New Roman" w:hAnsi="Times New Roman" w:cs="Times New Roman"/>
          <w:iCs/>
          <w:sz w:val="24"/>
          <w:szCs w:val="24"/>
        </w:rPr>
        <w:t xml:space="preserve"> </w:t>
      </w:r>
      <w:hyperlink r:id="rId26" w:history="1">
        <w:r w:rsidR="004E453F" w:rsidRPr="003E7A82">
          <w:rPr>
            <w:rStyle w:val="Hipervnculo"/>
            <w:rFonts w:ascii="Times New Roman" w:hAnsi="Times New Roman" w:cs="Times New Roman"/>
            <w:iCs/>
            <w:sz w:val="24"/>
            <w:szCs w:val="24"/>
          </w:rPr>
          <w:t>https://www.forbes.com/sites/brucejapsen/2020/07/14/pandemic-turns-physician-job-market-to-dire-from-demand/?sh=51dc19cde9cd</w:t>
        </w:r>
      </w:hyperlink>
      <w:r w:rsidR="00A62714" w:rsidRPr="003E7A82">
        <w:rPr>
          <w:rFonts w:ascii="Times New Roman" w:hAnsi="Times New Roman" w:cs="Times New Roman"/>
          <w:iCs/>
          <w:sz w:val="24"/>
          <w:szCs w:val="24"/>
        </w:rPr>
        <w:t>.</w:t>
      </w:r>
    </w:p>
    <w:p w14:paraId="3F669AD8" w14:textId="5A74D4BD" w:rsidR="002F2B98" w:rsidRPr="003E7A82" w:rsidRDefault="002F2B98" w:rsidP="00E77F98">
      <w:pPr>
        <w:tabs>
          <w:tab w:val="left" w:pos="284"/>
        </w:tabs>
        <w:spacing w:before="40" w:after="40" w:line="360" w:lineRule="auto"/>
        <w:ind w:left="993" w:hanging="993"/>
        <w:jc w:val="both"/>
        <w:rPr>
          <w:rFonts w:ascii="Times New Roman" w:hAnsi="Times New Roman" w:cs="Times New Roman"/>
          <w:iCs/>
          <w:sz w:val="24"/>
          <w:szCs w:val="24"/>
        </w:rPr>
      </w:pPr>
      <w:r w:rsidRPr="00E77F98">
        <w:rPr>
          <w:rFonts w:ascii="Times New Roman" w:hAnsi="Times New Roman" w:cs="Times New Roman"/>
          <w:iCs/>
          <w:sz w:val="24"/>
          <w:szCs w:val="24"/>
        </w:rPr>
        <w:t>Kindleberger,</w:t>
      </w:r>
      <w:r w:rsidR="000C5764" w:rsidRPr="00E77F98">
        <w:rPr>
          <w:rFonts w:ascii="Times New Roman" w:hAnsi="Times New Roman" w:cs="Times New Roman"/>
          <w:iCs/>
          <w:sz w:val="24"/>
          <w:szCs w:val="24"/>
        </w:rPr>
        <w:t xml:space="preserve"> </w:t>
      </w:r>
      <w:r w:rsidRPr="00E77F98">
        <w:rPr>
          <w:rFonts w:ascii="Times New Roman" w:hAnsi="Times New Roman" w:cs="Times New Roman"/>
          <w:iCs/>
          <w:sz w:val="24"/>
          <w:szCs w:val="24"/>
        </w:rPr>
        <w:t>C.</w:t>
      </w:r>
      <w:r w:rsidR="000C5764" w:rsidRPr="00E77F98">
        <w:rPr>
          <w:rFonts w:ascii="Times New Roman" w:hAnsi="Times New Roman" w:cs="Times New Roman"/>
          <w:iCs/>
          <w:sz w:val="24"/>
          <w:szCs w:val="24"/>
        </w:rPr>
        <w:t xml:space="preserve"> </w:t>
      </w:r>
      <w:r w:rsidRPr="00E77F98">
        <w:rPr>
          <w:rFonts w:ascii="Times New Roman" w:hAnsi="Times New Roman" w:cs="Times New Roman"/>
          <w:iCs/>
          <w:sz w:val="24"/>
          <w:szCs w:val="24"/>
        </w:rPr>
        <w:t>P.</w:t>
      </w:r>
      <w:r w:rsidR="000C5764" w:rsidRPr="00E77F98">
        <w:rPr>
          <w:rFonts w:ascii="Times New Roman" w:hAnsi="Times New Roman" w:cs="Times New Roman"/>
          <w:iCs/>
          <w:sz w:val="24"/>
          <w:szCs w:val="24"/>
        </w:rPr>
        <w:t xml:space="preserve"> y </w:t>
      </w:r>
      <w:r w:rsidRPr="00E77F98">
        <w:rPr>
          <w:rFonts w:ascii="Times New Roman" w:hAnsi="Times New Roman" w:cs="Times New Roman"/>
          <w:iCs/>
          <w:sz w:val="24"/>
          <w:szCs w:val="24"/>
        </w:rPr>
        <w:t>Pascual,</w:t>
      </w:r>
      <w:r w:rsidR="000C5764" w:rsidRPr="00E77F98">
        <w:rPr>
          <w:rFonts w:ascii="Times New Roman" w:hAnsi="Times New Roman" w:cs="Times New Roman"/>
          <w:iCs/>
          <w:sz w:val="24"/>
          <w:szCs w:val="24"/>
        </w:rPr>
        <w:t xml:space="preserve"> </w:t>
      </w:r>
      <w:r w:rsidRPr="00E77F98">
        <w:rPr>
          <w:rFonts w:ascii="Times New Roman" w:hAnsi="Times New Roman" w:cs="Times New Roman"/>
          <w:iCs/>
          <w:sz w:val="24"/>
          <w:szCs w:val="24"/>
        </w:rPr>
        <w:t>J.</w:t>
      </w:r>
      <w:r w:rsidR="000C5764" w:rsidRPr="00E77F98">
        <w:rPr>
          <w:rFonts w:ascii="Times New Roman" w:hAnsi="Times New Roman" w:cs="Times New Roman"/>
          <w:iCs/>
          <w:sz w:val="24"/>
          <w:szCs w:val="24"/>
        </w:rPr>
        <w:t xml:space="preserve"> </w:t>
      </w:r>
      <w:r w:rsidRPr="00E77F98">
        <w:rPr>
          <w:rFonts w:ascii="Times New Roman" w:hAnsi="Times New Roman" w:cs="Times New Roman"/>
          <w:iCs/>
          <w:sz w:val="24"/>
          <w:szCs w:val="24"/>
        </w:rPr>
        <w:t>(1993).</w:t>
      </w:r>
      <w:r w:rsidR="000C5764" w:rsidRPr="00E77F98">
        <w:rPr>
          <w:rFonts w:ascii="Times New Roman" w:hAnsi="Times New Roman" w:cs="Times New Roman"/>
          <w:iCs/>
          <w:sz w:val="24"/>
          <w:szCs w:val="24"/>
        </w:rPr>
        <w:t xml:space="preserve"> </w:t>
      </w:r>
      <w:r w:rsidRPr="003E7A82">
        <w:rPr>
          <w:rFonts w:ascii="Times New Roman" w:hAnsi="Times New Roman" w:cs="Times New Roman"/>
          <w:i/>
          <w:sz w:val="24"/>
          <w:szCs w:val="24"/>
        </w:rPr>
        <w:t>Problemas históricos e interpretaciones económicas</w:t>
      </w:r>
      <w:r w:rsidRPr="003E7A82">
        <w:rPr>
          <w:rFonts w:ascii="Times New Roman" w:hAnsi="Times New Roman" w:cs="Times New Roman"/>
          <w:iCs/>
          <w:sz w:val="24"/>
          <w:szCs w:val="24"/>
        </w:rPr>
        <w:t xml:space="preserve">: </w:t>
      </w:r>
      <w:r w:rsidRPr="003E7A82">
        <w:rPr>
          <w:rFonts w:ascii="Times New Roman" w:hAnsi="Times New Roman" w:cs="Times New Roman"/>
          <w:i/>
          <w:sz w:val="24"/>
          <w:szCs w:val="24"/>
        </w:rPr>
        <w:t>estudios de historia financiera</w:t>
      </w:r>
      <w:r w:rsidRPr="003E7A82">
        <w:rPr>
          <w:rFonts w:ascii="Times New Roman" w:hAnsi="Times New Roman" w:cs="Times New Roman"/>
          <w:iCs/>
          <w:sz w:val="24"/>
          <w:szCs w:val="24"/>
        </w:rPr>
        <w:t>.</w:t>
      </w:r>
      <w:r w:rsidR="000C5764"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España:</w:t>
      </w:r>
      <w:r w:rsidR="000C5764"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Crítica.</w:t>
      </w:r>
    </w:p>
    <w:p w14:paraId="6AF2A41A" w14:textId="336EDED0" w:rsidR="00A03EED" w:rsidRPr="003E7A82" w:rsidRDefault="00A03EED" w:rsidP="00E77F98">
      <w:pPr>
        <w:tabs>
          <w:tab w:val="left" w:pos="284"/>
        </w:tabs>
        <w:spacing w:before="40" w:after="40" w:line="360" w:lineRule="auto"/>
        <w:ind w:left="993" w:hanging="993"/>
        <w:jc w:val="both"/>
        <w:rPr>
          <w:rFonts w:ascii="Times New Roman" w:hAnsi="Times New Roman" w:cs="Times New Roman"/>
          <w:iCs/>
          <w:sz w:val="24"/>
          <w:szCs w:val="24"/>
          <w:u w:val="single"/>
        </w:rPr>
      </w:pPr>
      <w:r w:rsidRPr="003E7A82">
        <w:rPr>
          <w:rFonts w:ascii="Times New Roman" w:hAnsi="Times New Roman" w:cs="Times New Roman"/>
          <w:iCs/>
          <w:sz w:val="24"/>
          <w:szCs w:val="24"/>
        </w:rPr>
        <w:t>Lázaro, E</w:t>
      </w:r>
      <w:r w:rsidR="00237828"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(2022)</w:t>
      </w:r>
      <w:r w:rsidR="00D92144"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‘¿Qué es el </w:t>
      </w:r>
      <w:proofErr w:type="spellStart"/>
      <w:r w:rsidRPr="003E7A82">
        <w:rPr>
          <w:rFonts w:ascii="Times New Roman" w:hAnsi="Times New Roman" w:cs="Times New Roman"/>
          <w:iCs/>
          <w:sz w:val="24"/>
          <w:szCs w:val="24"/>
        </w:rPr>
        <w:t>Nearshoring</w:t>
      </w:r>
      <w:proofErr w:type="spellEnd"/>
      <w:r w:rsidRPr="003E7A82">
        <w:rPr>
          <w:rFonts w:ascii="Times New Roman" w:hAnsi="Times New Roman" w:cs="Times New Roman"/>
          <w:iCs/>
          <w:sz w:val="24"/>
          <w:szCs w:val="24"/>
        </w:rPr>
        <w:t>?’</w:t>
      </w:r>
      <w:r w:rsidR="00065226"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Pr="003E7A82">
        <w:rPr>
          <w:rFonts w:ascii="Times New Roman" w:hAnsi="Times New Roman" w:cs="Times New Roman"/>
          <w:i/>
          <w:sz w:val="24"/>
          <w:szCs w:val="24"/>
        </w:rPr>
        <w:t>El Economista</w:t>
      </w:r>
      <w:r w:rsidR="00065226" w:rsidRPr="003E7A82">
        <w:rPr>
          <w:rFonts w:ascii="Times New Roman" w:hAnsi="Times New Roman" w:cs="Times New Roman"/>
          <w:i/>
          <w:sz w:val="24"/>
          <w:szCs w:val="24"/>
        </w:rPr>
        <w:t>.</w:t>
      </w:r>
      <w:r w:rsidRPr="003E7A82">
        <w:rPr>
          <w:rFonts w:ascii="Times New Roman" w:hAnsi="Times New Roman" w:cs="Times New Roman"/>
          <w:iCs/>
          <w:sz w:val="24"/>
          <w:szCs w:val="24"/>
        </w:rPr>
        <w:t xml:space="preserve"> </w:t>
      </w:r>
      <w:hyperlink r:id="rId27" w:history="1">
        <w:r w:rsidR="00AB4CB9" w:rsidRPr="003E7A82">
          <w:rPr>
            <w:rStyle w:val="Hipervnculo"/>
            <w:rFonts w:ascii="Times New Roman" w:hAnsi="Times New Roman" w:cs="Times New Roman"/>
            <w:iCs/>
            <w:sz w:val="24"/>
            <w:szCs w:val="24"/>
          </w:rPr>
          <w:t>https://www.eleconomista.com.mx/empresas/Que-es-el-nearshoring-20221108-0093.html</w:t>
        </w:r>
      </w:hyperlink>
      <w:r w:rsidRPr="003E7A82">
        <w:rPr>
          <w:rFonts w:ascii="Times New Roman" w:hAnsi="Times New Roman" w:cs="Times New Roman"/>
          <w:iCs/>
          <w:sz w:val="24"/>
          <w:szCs w:val="24"/>
        </w:rPr>
        <w:t>.</w:t>
      </w:r>
    </w:p>
    <w:p w14:paraId="3E5E4167" w14:textId="4B730CAC" w:rsidR="00FC1B29" w:rsidRPr="003E7A82" w:rsidRDefault="00FC1B29" w:rsidP="00E77F98">
      <w:pPr>
        <w:tabs>
          <w:tab w:val="left" w:pos="284"/>
        </w:tabs>
        <w:spacing w:before="40" w:after="40" w:line="360" w:lineRule="auto"/>
        <w:ind w:left="993" w:hanging="993"/>
        <w:jc w:val="both"/>
        <w:rPr>
          <w:rFonts w:ascii="Times New Roman" w:hAnsi="Times New Roman" w:cs="Times New Roman"/>
          <w:iCs/>
          <w:sz w:val="24"/>
          <w:szCs w:val="24"/>
        </w:rPr>
      </w:pPr>
      <w:r w:rsidRPr="00CE0131">
        <w:rPr>
          <w:rFonts w:ascii="Times New Roman" w:hAnsi="Times New Roman" w:cs="Times New Roman"/>
          <w:iCs/>
          <w:sz w:val="24"/>
          <w:szCs w:val="24"/>
          <w:lang w:val="en-GB"/>
        </w:rPr>
        <w:t>Lewin, K. (1948)</w:t>
      </w:r>
      <w:r w:rsidR="00237828" w:rsidRPr="00CE0131">
        <w:rPr>
          <w:rFonts w:ascii="Times New Roman" w:hAnsi="Times New Roman" w:cs="Times New Roman"/>
          <w:iCs/>
          <w:sz w:val="24"/>
          <w:szCs w:val="24"/>
          <w:lang w:val="en-GB"/>
        </w:rPr>
        <w:t>.</w:t>
      </w:r>
      <w:r w:rsidRPr="00CE0131">
        <w:rPr>
          <w:rFonts w:ascii="Times New Roman" w:hAnsi="Times New Roman" w:cs="Times New Roman"/>
          <w:iCs/>
          <w:sz w:val="24"/>
          <w:szCs w:val="24"/>
          <w:lang w:val="en-GB"/>
        </w:rPr>
        <w:t xml:space="preserve"> </w:t>
      </w:r>
      <w:r w:rsidRPr="00CE0131">
        <w:rPr>
          <w:rFonts w:ascii="Times New Roman" w:hAnsi="Times New Roman" w:cs="Times New Roman"/>
          <w:i/>
          <w:sz w:val="24"/>
          <w:szCs w:val="24"/>
          <w:lang w:val="en-GB"/>
        </w:rPr>
        <w:t>Resolving Social Conflicts</w:t>
      </w:r>
      <w:r w:rsidR="00065226" w:rsidRPr="00CE0131">
        <w:rPr>
          <w:rFonts w:ascii="Times New Roman" w:hAnsi="Times New Roman" w:cs="Times New Roman"/>
          <w:iCs/>
          <w:sz w:val="24"/>
          <w:szCs w:val="24"/>
          <w:lang w:val="en-GB"/>
        </w:rPr>
        <w:t>.</w:t>
      </w:r>
      <w:r w:rsidRPr="00CE0131">
        <w:rPr>
          <w:rFonts w:ascii="Times New Roman" w:hAnsi="Times New Roman" w:cs="Times New Roman"/>
          <w:iCs/>
          <w:sz w:val="24"/>
          <w:szCs w:val="24"/>
          <w:lang w:val="en-GB"/>
        </w:rPr>
        <w:t xml:space="preserve"> </w:t>
      </w:r>
      <w:r w:rsidRPr="003E7A82">
        <w:rPr>
          <w:rFonts w:ascii="Times New Roman" w:hAnsi="Times New Roman" w:cs="Times New Roman"/>
          <w:iCs/>
          <w:sz w:val="24"/>
          <w:szCs w:val="24"/>
        </w:rPr>
        <w:t>N</w:t>
      </w:r>
      <w:r w:rsidR="00065226" w:rsidRPr="003E7A82">
        <w:rPr>
          <w:rFonts w:ascii="Times New Roman" w:hAnsi="Times New Roman" w:cs="Times New Roman"/>
          <w:iCs/>
          <w:sz w:val="24"/>
          <w:szCs w:val="24"/>
        </w:rPr>
        <w:t>ueva</w:t>
      </w:r>
      <w:r w:rsidRPr="003E7A82">
        <w:rPr>
          <w:rFonts w:ascii="Times New Roman" w:hAnsi="Times New Roman" w:cs="Times New Roman"/>
          <w:iCs/>
          <w:sz w:val="24"/>
          <w:szCs w:val="24"/>
        </w:rPr>
        <w:t xml:space="preserve"> York, </w:t>
      </w:r>
      <w:r w:rsidR="00065226" w:rsidRPr="003E7A82">
        <w:rPr>
          <w:rFonts w:ascii="Times New Roman" w:hAnsi="Times New Roman" w:cs="Times New Roman"/>
          <w:iCs/>
          <w:sz w:val="24"/>
          <w:szCs w:val="24"/>
        </w:rPr>
        <w:t xml:space="preserve">Estados Unidos: </w:t>
      </w:r>
      <w:r w:rsidRPr="003E7A82">
        <w:rPr>
          <w:rFonts w:ascii="Times New Roman" w:hAnsi="Times New Roman" w:cs="Times New Roman"/>
          <w:iCs/>
          <w:sz w:val="24"/>
          <w:szCs w:val="24"/>
        </w:rPr>
        <w:t>Harper.</w:t>
      </w:r>
    </w:p>
    <w:p w14:paraId="22D11B4D" w14:textId="1F50EE9E" w:rsidR="00A62714" w:rsidRPr="00CE0131" w:rsidRDefault="0059432A" w:rsidP="00E77F98">
      <w:pPr>
        <w:tabs>
          <w:tab w:val="left" w:pos="284"/>
        </w:tabs>
        <w:spacing w:before="40" w:after="40" w:line="360" w:lineRule="auto"/>
        <w:ind w:left="993" w:hanging="993"/>
        <w:jc w:val="both"/>
        <w:rPr>
          <w:rFonts w:ascii="Times New Roman" w:hAnsi="Times New Roman" w:cs="Times New Roman"/>
          <w:iCs/>
          <w:sz w:val="24"/>
          <w:szCs w:val="24"/>
          <w:lang w:val="en-GB"/>
        </w:rPr>
      </w:pPr>
      <w:r w:rsidRPr="00CE0131">
        <w:rPr>
          <w:rFonts w:ascii="Times New Roman" w:hAnsi="Times New Roman" w:cs="Times New Roman"/>
          <w:iCs/>
          <w:sz w:val="24"/>
          <w:szCs w:val="24"/>
          <w:lang w:val="en-GB"/>
        </w:rPr>
        <w:t>Merrit Hawkins</w:t>
      </w:r>
      <w:r w:rsidR="00E20573" w:rsidRPr="00CE0131">
        <w:rPr>
          <w:rFonts w:ascii="Times New Roman" w:hAnsi="Times New Roman" w:cs="Times New Roman"/>
          <w:iCs/>
          <w:sz w:val="24"/>
          <w:szCs w:val="24"/>
          <w:lang w:val="en-GB"/>
        </w:rPr>
        <w:t>.</w:t>
      </w:r>
      <w:r w:rsidRPr="00CE0131">
        <w:rPr>
          <w:rFonts w:ascii="Times New Roman" w:hAnsi="Times New Roman" w:cs="Times New Roman"/>
          <w:iCs/>
          <w:sz w:val="24"/>
          <w:szCs w:val="24"/>
          <w:lang w:val="en-GB"/>
        </w:rPr>
        <w:t xml:space="preserve"> (2020)</w:t>
      </w:r>
      <w:r w:rsidR="00E20573" w:rsidRPr="00CE0131">
        <w:rPr>
          <w:rFonts w:ascii="Times New Roman" w:hAnsi="Times New Roman" w:cs="Times New Roman"/>
          <w:iCs/>
          <w:sz w:val="24"/>
          <w:szCs w:val="24"/>
          <w:lang w:val="en-GB"/>
        </w:rPr>
        <w:t>.</w:t>
      </w:r>
      <w:r w:rsidRPr="00CE0131">
        <w:rPr>
          <w:rFonts w:ascii="Times New Roman" w:hAnsi="Times New Roman" w:cs="Times New Roman"/>
          <w:iCs/>
          <w:sz w:val="24"/>
          <w:szCs w:val="24"/>
          <w:lang w:val="en-GB"/>
        </w:rPr>
        <w:t xml:space="preserve"> </w:t>
      </w:r>
      <w:r w:rsidR="009C7AF0" w:rsidRPr="00CE0131">
        <w:rPr>
          <w:rFonts w:ascii="Times New Roman" w:hAnsi="Times New Roman" w:cs="Times New Roman"/>
          <w:i/>
          <w:sz w:val="24"/>
          <w:szCs w:val="24"/>
          <w:lang w:val="en-GB"/>
        </w:rPr>
        <w:t>2020 HEALTH CARE Trends</w:t>
      </w:r>
      <w:r w:rsidR="00065226" w:rsidRPr="00CE0131">
        <w:rPr>
          <w:rFonts w:ascii="Times New Roman" w:hAnsi="Times New Roman" w:cs="Times New Roman"/>
          <w:iCs/>
          <w:sz w:val="24"/>
          <w:szCs w:val="24"/>
          <w:lang w:val="en-GB"/>
        </w:rPr>
        <w:t>.</w:t>
      </w:r>
      <w:r w:rsidR="009C7AF0" w:rsidRPr="00CE0131">
        <w:rPr>
          <w:rFonts w:ascii="Times New Roman" w:hAnsi="Times New Roman" w:cs="Times New Roman"/>
          <w:i/>
          <w:sz w:val="24"/>
          <w:szCs w:val="24"/>
          <w:lang w:val="en-GB"/>
        </w:rPr>
        <w:t xml:space="preserve"> </w:t>
      </w:r>
      <w:r w:rsidR="009C7AF0" w:rsidRPr="00CE0131">
        <w:rPr>
          <w:rFonts w:ascii="Times New Roman" w:hAnsi="Times New Roman" w:cs="Times New Roman"/>
          <w:iCs/>
          <w:sz w:val="24"/>
          <w:szCs w:val="24"/>
          <w:lang w:val="en-GB"/>
        </w:rPr>
        <w:t>https://</w:t>
      </w:r>
      <w:hyperlink w:history="1">
        <w:r w:rsidR="009C7AF0" w:rsidRPr="00CE0131">
          <w:rPr>
            <w:rStyle w:val="Hipervnculo"/>
            <w:rFonts w:ascii="Roboto" w:hAnsi="Roboto"/>
            <w:sz w:val="21"/>
            <w:szCs w:val="21"/>
            <w:shd w:val="clear" w:color="auto" w:fill="FFFFFF"/>
            <w:lang w:val="en-GB"/>
          </w:rPr>
          <w:t>www.merritthawkins.com›uploadedFiles›Trends_Info</w:t>
        </w:r>
      </w:hyperlink>
      <w:r w:rsidR="009C7AF0" w:rsidRPr="00CE0131">
        <w:rPr>
          <w:lang w:val="en-GB"/>
        </w:rPr>
        <w:t>.</w:t>
      </w:r>
    </w:p>
    <w:p w14:paraId="71E10AAA" w14:textId="41F7380F" w:rsidR="00262E85" w:rsidRPr="00CE0131" w:rsidRDefault="004C3FC3" w:rsidP="00E77F98">
      <w:pPr>
        <w:tabs>
          <w:tab w:val="left" w:pos="284"/>
        </w:tabs>
        <w:spacing w:before="40" w:after="40" w:line="360" w:lineRule="auto"/>
        <w:ind w:left="993" w:hanging="993"/>
        <w:jc w:val="both"/>
        <w:rPr>
          <w:rFonts w:ascii="Times New Roman" w:hAnsi="Times New Roman" w:cs="Times New Roman"/>
          <w:iCs/>
          <w:sz w:val="24"/>
          <w:szCs w:val="24"/>
          <w:lang w:val="en-GB"/>
        </w:rPr>
      </w:pPr>
      <w:r w:rsidRPr="00CE0131">
        <w:rPr>
          <w:rFonts w:ascii="Times New Roman" w:hAnsi="Times New Roman" w:cs="Times New Roman"/>
          <w:iCs/>
          <w:sz w:val="24"/>
          <w:szCs w:val="24"/>
          <w:lang w:val="en-GB"/>
        </w:rPr>
        <w:t>Morales, M.</w:t>
      </w:r>
      <w:r w:rsidR="00BF4903" w:rsidRPr="00CE0131">
        <w:rPr>
          <w:rFonts w:ascii="Times New Roman" w:hAnsi="Times New Roman" w:cs="Times New Roman"/>
          <w:iCs/>
          <w:sz w:val="24"/>
          <w:szCs w:val="24"/>
          <w:lang w:val="en-GB"/>
        </w:rPr>
        <w:t xml:space="preserve"> </w:t>
      </w:r>
      <w:r w:rsidRPr="00CE0131">
        <w:rPr>
          <w:rFonts w:ascii="Times New Roman" w:hAnsi="Times New Roman" w:cs="Times New Roman"/>
          <w:iCs/>
          <w:sz w:val="24"/>
          <w:szCs w:val="24"/>
          <w:lang w:val="en-GB"/>
        </w:rPr>
        <w:t>P.</w:t>
      </w:r>
      <w:r w:rsidR="00BF4903" w:rsidRPr="00CE0131">
        <w:rPr>
          <w:rFonts w:ascii="Times New Roman" w:hAnsi="Times New Roman" w:cs="Times New Roman"/>
          <w:iCs/>
          <w:sz w:val="24"/>
          <w:szCs w:val="24"/>
          <w:lang w:val="en-GB"/>
        </w:rPr>
        <w:t xml:space="preserve"> </w:t>
      </w:r>
      <w:r w:rsidRPr="00CE0131">
        <w:rPr>
          <w:rFonts w:ascii="Times New Roman" w:hAnsi="Times New Roman" w:cs="Times New Roman"/>
          <w:iCs/>
          <w:sz w:val="24"/>
          <w:szCs w:val="24"/>
          <w:lang w:val="en-GB"/>
        </w:rPr>
        <w:t>E. (2016). Participatory Action Research (PAR) cum Action Research (AR) in teacher professional development: A literature review</w:t>
      </w:r>
      <w:r w:rsidR="00F30FF8" w:rsidRPr="00CE0131">
        <w:rPr>
          <w:rFonts w:ascii="Times New Roman" w:hAnsi="Times New Roman" w:cs="Times New Roman"/>
          <w:iCs/>
          <w:sz w:val="24"/>
          <w:szCs w:val="24"/>
          <w:lang w:val="en-GB"/>
        </w:rPr>
        <w:t>.</w:t>
      </w:r>
      <w:r w:rsidRPr="00CE0131">
        <w:rPr>
          <w:rFonts w:ascii="Times New Roman" w:hAnsi="Times New Roman" w:cs="Times New Roman"/>
          <w:iCs/>
          <w:sz w:val="24"/>
          <w:szCs w:val="24"/>
          <w:lang w:val="en-GB"/>
        </w:rPr>
        <w:t xml:space="preserve"> </w:t>
      </w:r>
      <w:r w:rsidRPr="00CE0131">
        <w:rPr>
          <w:rFonts w:ascii="Times New Roman" w:hAnsi="Times New Roman" w:cs="Times New Roman"/>
          <w:i/>
          <w:sz w:val="24"/>
          <w:szCs w:val="24"/>
          <w:lang w:val="en-GB"/>
        </w:rPr>
        <w:t>International Journal of Research in Education and Science (IJRES), 2</w:t>
      </w:r>
      <w:r w:rsidRPr="00CE0131">
        <w:rPr>
          <w:rFonts w:ascii="Times New Roman" w:hAnsi="Times New Roman" w:cs="Times New Roman"/>
          <w:iCs/>
          <w:sz w:val="24"/>
          <w:szCs w:val="24"/>
          <w:lang w:val="en-GB"/>
        </w:rPr>
        <w:t>(1),</w:t>
      </w:r>
      <w:r w:rsidR="00065226" w:rsidRPr="00CE0131">
        <w:rPr>
          <w:rFonts w:ascii="Times New Roman" w:hAnsi="Times New Roman" w:cs="Times New Roman"/>
          <w:iCs/>
          <w:sz w:val="24"/>
          <w:szCs w:val="24"/>
          <w:lang w:val="en-GB"/>
        </w:rPr>
        <w:t xml:space="preserve"> </w:t>
      </w:r>
      <w:r w:rsidRPr="00CE0131">
        <w:rPr>
          <w:rFonts w:ascii="Times New Roman" w:hAnsi="Times New Roman" w:cs="Times New Roman"/>
          <w:iCs/>
          <w:sz w:val="24"/>
          <w:szCs w:val="24"/>
          <w:lang w:val="en-GB"/>
        </w:rPr>
        <w:t>156-165.</w:t>
      </w:r>
    </w:p>
    <w:p w14:paraId="72B41ECE" w14:textId="4F123512" w:rsidR="000E4545" w:rsidRPr="003E7A82" w:rsidRDefault="00A216AD" w:rsidP="00E77F98">
      <w:pPr>
        <w:tabs>
          <w:tab w:val="left" w:pos="284"/>
        </w:tabs>
        <w:spacing w:before="40" w:after="40" w:line="360" w:lineRule="auto"/>
        <w:ind w:left="993" w:hanging="993"/>
        <w:jc w:val="both"/>
        <w:rPr>
          <w:rFonts w:ascii="Times New Roman" w:hAnsi="Times New Roman" w:cs="Times New Roman"/>
          <w:iCs/>
          <w:sz w:val="24"/>
          <w:szCs w:val="24"/>
        </w:rPr>
      </w:pPr>
      <w:r w:rsidRPr="00CE0131">
        <w:rPr>
          <w:rFonts w:ascii="Times New Roman" w:hAnsi="Times New Roman" w:cs="Times New Roman"/>
          <w:iCs/>
          <w:sz w:val="24"/>
          <w:szCs w:val="24"/>
          <w:lang w:val="en-GB"/>
        </w:rPr>
        <w:t xml:space="preserve">OECD. </w:t>
      </w:r>
      <w:r w:rsidRPr="003E7A82">
        <w:rPr>
          <w:rFonts w:ascii="Times New Roman" w:hAnsi="Times New Roman" w:cs="Times New Roman"/>
          <w:iCs/>
          <w:sz w:val="24"/>
          <w:szCs w:val="24"/>
        </w:rPr>
        <w:t>(201</w:t>
      </w:r>
      <w:r w:rsidR="00F30FF8" w:rsidRPr="003E7A82">
        <w:rPr>
          <w:rFonts w:ascii="Times New Roman" w:hAnsi="Times New Roman" w:cs="Times New Roman"/>
          <w:iCs/>
          <w:sz w:val="24"/>
          <w:szCs w:val="24"/>
        </w:rPr>
        <w:t>8</w:t>
      </w:r>
      <w:r w:rsidRPr="003E7A82">
        <w:rPr>
          <w:rFonts w:ascii="Times New Roman" w:hAnsi="Times New Roman" w:cs="Times New Roman"/>
          <w:iCs/>
          <w:sz w:val="24"/>
          <w:szCs w:val="24"/>
        </w:rPr>
        <w:t xml:space="preserve">). </w:t>
      </w:r>
      <w:r w:rsidRPr="003E7A82">
        <w:rPr>
          <w:rFonts w:ascii="Times New Roman" w:hAnsi="Times New Roman" w:cs="Times New Roman"/>
          <w:i/>
          <w:sz w:val="24"/>
          <w:szCs w:val="24"/>
        </w:rPr>
        <w:t xml:space="preserve">Panorama de la educación 2017: indicadores de la OCDE. </w:t>
      </w:r>
      <w:r w:rsidR="000E4545" w:rsidRPr="003E7A82">
        <w:rPr>
          <w:rFonts w:ascii="Times New Roman" w:hAnsi="Times New Roman" w:cs="Times New Roman"/>
          <w:iCs/>
          <w:sz w:val="24"/>
          <w:szCs w:val="24"/>
        </w:rPr>
        <w:t>Madrid</w:t>
      </w:r>
      <w:r w:rsidR="00F30FF8" w:rsidRPr="003E7A82">
        <w:rPr>
          <w:rFonts w:ascii="Times New Roman" w:hAnsi="Times New Roman" w:cs="Times New Roman"/>
          <w:iCs/>
          <w:sz w:val="24"/>
          <w:szCs w:val="24"/>
        </w:rPr>
        <w:t>, España</w:t>
      </w:r>
      <w:r w:rsidR="000E4545" w:rsidRPr="003E7A82">
        <w:rPr>
          <w:rFonts w:ascii="Times New Roman" w:hAnsi="Times New Roman" w:cs="Times New Roman"/>
          <w:iCs/>
          <w:sz w:val="24"/>
          <w:szCs w:val="24"/>
        </w:rPr>
        <w:t>: Fundación Santillana</w:t>
      </w:r>
      <w:r w:rsidRPr="003E7A82">
        <w:rPr>
          <w:rFonts w:ascii="Times New Roman" w:hAnsi="Times New Roman" w:cs="Times New Roman"/>
          <w:iCs/>
          <w:sz w:val="24"/>
          <w:szCs w:val="24"/>
        </w:rPr>
        <w:t>.</w:t>
      </w:r>
    </w:p>
    <w:p w14:paraId="2A9C4001" w14:textId="6C7F7A4E" w:rsidR="000E30C6" w:rsidRPr="003E7A82" w:rsidRDefault="00D621AC"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Parada, J. (</w:t>
      </w:r>
      <w:r w:rsidR="000E30C6" w:rsidRPr="003E7A82">
        <w:rPr>
          <w:rFonts w:ascii="Times New Roman" w:hAnsi="Times New Roman" w:cs="Times New Roman"/>
          <w:iCs/>
          <w:sz w:val="24"/>
          <w:szCs w:val="24"/>
        </w:rPr>
        <w:t>2024). La urgente necesidad de invertir en ciencia, tecnología e innovación para el desarrollo económico y social de México</w:t>
      </w:r>
      <w:r w:rsidR="00F30FF8" w:rsidRPr="003E7A82">
        <w:rPr>
          <w:rFonts w:ascii="Times New Roman" w:hAnsi="Times New Roman" w:cs="Times New Roman"/>
          <w:iCs/>
          <w:sz w:val="24"/>
          <w:szCs w:val="24"/>
        </w:rPr>
        <w:t>.</w:t>
      </w:r>
      <w:r w:rsidR="000E30C6" w:rsidRPr="003E7A82">
        <w:rPr>
          <w:rFonts w:ascii="Times New Roman" w:hAnsi="Times New Roman" w:cs="Times New Roman"/>
          <w:iCs/>
          <w:sz w:val="24"/>
          <w:szCs w:val="24"/>
        </w:rPr>
        <w:t xml:space="preserve"> </w:t>
      </w:r>
      <w:r w:rsidR="000E30C6" w:rsidRPr="003E7A82">
        <w:rPr>
          <w:rFonts w:ascii="Times New Roman" w:hAnsi="Times New Roman" w:cs="Times New Roman"/>
          <w:i/>
          <w:sz w:val="24"/>
          <w:szCs w:val="24"/>
        </w:rPr>
        <w:t>El Universal</w:t>
      </w:r>
      <w:r w:rsidR="00E0652B" w:rsidRPr="003E7A82">
        <w:rPr>
          <w:rFonts w:ascii="Times New Roman" w:hAnsi="Times New Roman" w:cs="Times New Roman"/>
          <w:iCs/>
          <w:sz w:val="24"/>
          <w:szCs w:val="24"/>
        </w:rPr>
        <w:t>.</w:t>
      </w:r>
      <w:r w:rsidR="00B533BA" w:rsidRPr="003E7A82">
        <w:rPr>
          <w:rFonts w:ascii="Times New Roman" w:hAnsi="Times New Roman" w:cs="Times New Roman"/>
          <w:iCs/>
          <w:sz w:val="24"/>
          <w:szCs w:val="24"/>
        </w:rPr>
        <w:t xml:space="preserve"> </w:t>
      </w:r>
      <w:hyperlink r:id="rId28" w:history="1">
        <w:r w:rsidR="00CE66FA" w:rsidRPr="003E7A82">
          <w:rPr>
            <w:rStyle w:val="Hipervnculo"/>
            <w:rFonts w:ascii="Times New Roman" w:hAnsi="Times New Roman" w:cs="Times New Roman"/>
            <w:iCs/>
            <w:sz w:val="24"/>
            <w:szCs w:val="24"/>
          </w:rPr>
          <w:t>https://www.eluniversal.com.mx/opinion/jaime-parada/la-urgente-necesidad-de-invertir-en-ciencia-tecnologia-e-innovacion-para-el-desarrollo-economico-y-social-de-mexico/</w:t>
        </w:r>
      </w:hyperlink>
      <w:r w:rsidR="00CE66FA" w:rsidRPr="003E7A82">
        <w:rPr>
          <w:rFonts w:ascii="Times New Roman" w:hAnsi="Times New Roman" w:cs="Times New Roman"/>
          <w:iCs/>
          <w:sz w:val="24"/>
          <w:szCs w:val="24"/>
        </w:rPr>
        <w:t>.</w:t>
      </w:r>
      <w:r w:rsidR="001817BF" w:rsidRPr="003E7A82">
        <w:rPr>
          <w:rFonts w:ascii="Times New Roman" w:hAnsi="Times New Roman" w:cs="Times New Roman"/>
          <w:iCs/>
          <w:sz w:val="24"/>
          <w:szCs w:val="24"/>
        </w:rPr>
        <w:t xml:space="preserve"> </w:t>
      </w:r>
    </w:p>
    <w:p w14:paraId="6291861C" w14:textId="6404B8B4" w:rsidR="00652FAD" w:rsidRPr="003E7A82" w:rsidRDefault="00652FAD"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 xml:space="preserve">Pearson. (2022a). </w:t>
      </w:r>
      <w:r w:rsidRPr="003E7A82">
        <w:rPr>
          <w:rFonts w:ascii="Times New Roman" w:hAnsi="Times New Roman" w:cs="Times New Roman"/>
          <w:i/>
          <w:sz w:val="24"/>
          <w:szCs w:val="24"/>
        </w:rPr>
        <w:t>6 modelos educativos que han marcado el rumbo de América Latina</w:t>
      </w:r>
      <w:r w:rsidR="00F30FF8"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hyperlink r:id="rId29" w:history="1">
        <w:r w:rsidRPr="003E7A82">
          <w:rPr>
            <w:rStyle w:val="Hipervnculo"/>
            <w:rFonts w:ascii="Times New Roman" w:hAnsi="Times New Roman" w:cs="Times New Roman"/>
            <w:iCs/>
            <w:color w:val="auto"/>
            <w:sz w:val="24"/>
            <w:szCs w:val="24"/>
          </w:rPr>
          <w:t>https://blog.pearsonlatam.com/ingles-para-todos/modelos-educativos-america-latina</w:t>
        </w:r>
      </w:hyperlink>
      <w:r w:rsidR="00F30FF8"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p>
    <w:p w14:paraId="74D25A20" w14:textId="69950668" w:rsidR="009A6269" w:rsidRPr="003E7A82" w:rsidRDefault="00572096"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Pearson</w:t>
      </w:r>
      <w:r w:rsidR="00D90D6E"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(2022b)</w:t>
      </w:r>
      <w:r w:rsidR="00D90D6E"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Pr="003E7A82">
        <w:rPr>
          <w:rFonts w:ascii="Times New Roman" w:hAnsi="Times New Roman" w:cs="Times New Roman"/>
          <w:i/>
          <w:sz w:val="24"/>
          <w:szCs w:val="24"/>
        </w:rPr>
        <w:t>Ventajas del aula invertida</w:t>
      </w:r>
      <w:r w:rsidR="00F30FF8"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hyperlink r:id="rId30" w:history="1">
        <w:r w:rsidRPr="003E7A82">
          <w:rPr>
            <w:rStyle w:val="Hipervnculo"/>
            <w:rFonts w:ascii="Times New Roman" w:hAnsi="Times New Roman" w:cs="Times New Roman"/>
            <w:iCs/>
            <w:color w:val="auto"/>
            <w:sz w:val="24"/>
            <w:szCs w:val="24"/>
          </w:rPr>
          <w:t>https://blog.pearsonlatam.com/en-el-aula/ventajas-aula-invertida</w:t>
        </w:r>
      </w:hyperlink>
      <w:r w:rsidR="00F30FF8"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00F30FF8" w:rsidRPr="003E7A82">
        <w:rPr>
          <w:rFonts w:ascii="Times New Roman" w:hAnsi="Times New Roman" w:cs="Times New Roman"/>
          <w:iCs/>
          <w:sz w:val="24"/>
          <w:szCs w:val="24"/>
        </w:rPr>
        <w:t>C</w:t>
      </w:r>
      <w:r w:rsidRPr="003E7A82">
        <w:rPr>
          <w:rFonts w:ascii="Times New Roman" w:hAnsi="Times New Roman" w:cs="Times New Roman"/>
          <w:iCs/>
          <w:sz w:val="24"/>
          <w:szCs w:val="24"/>
        </w:rPr>
        <w:t>onsultado el 16 de julio de 2023.</w:t>
      </w:r>
      <w:r w:rsidR="009A6269" w:rsidRPr="003E7A82">
        <w:rPr>
          <w:rFonts w:ascii="Times New Roman" w:hAnsi="Times New Roman" w:cs="Times New Roman"/>
          <w:iCs/>
          <w:sz w:val="24"/>
          <w:szCs w:val="24"/>
        </w:rPr>
        <w:t xml:space="preserve"> </w:t>
      </w:r>
    </w:p>
    <w:p w14:paraId="4F79F32F" w14:textId="397095FF" w:rsidR="00B8487C" w:rsidRPr="003E7A82" w:rsidRDefault="00B8487C" w:rsidP="00E77F98">
      <w:pPr>
        <w:tabs>
          <w:tab w:val="left" w:pos="284"/>
        </w:tabs>
        <w:spacing w:before="40" w:after="40" w:line="360" w:lineRule="auto"/>
        <w:ind w:left="993" w:hanging="993"/>
        <w:jc w:val="both"/>
        <w:rPr>
          <w:rFonts w:ascii="Times New Roman" w:hAnsi="Times New Roman" w:cs="Times New Roman"/>
          <w:sz w:val="24"/>
          <w:szCs w:val="24"/>
        </w:rPr>
      </w:pPr>
      <w:r w:rsidRPr="003E7A82">
        <w:rPr>
          <w:rFonts w:ascii="Times New Roman" w:hAnsi="Times New Roman" w:cs="Times New Roman"/>
          <w:sz w:val="24"/>
          <w:szCs w:val="24"/>
        </w:rPr>
        <w:lastRenderedPageBreak/>
        <w:t>Pérez</w:t>
      </w:r>
      <w:r w:rsidR="00406A00" w:rsidRPr="003E7A82">
        <w:rPr>
          <w:rFonts w:ascii="Times New Roman" w:hAnsi="Times New Roman" w:cs="Times New Roman"/>
          <w:sz w:val="24"/>
          <w:szCs w:val="24"/>
        </w:rPr>
        <w:t>, F</w:t>
      </w:r>
      <w:r w:rsidR="00D90D6E" w:rsidRPr="003E7A82">
        <w:rPr>
          <w:rFonts w:ascii="Times New Roman" w:hAnsi="Times New Roman" w:cs="Times New Roman"/>
          <w:sz w:val="24"/>
          <w:szCs w:val="24"/>
        </w:rPr>
        <w:t>.</w:t>
      </w:r>
      <w:r w:rsidR="00223857" w:rsidRPr="003E7A82">
        <w:rPr>
          <w:rFonts w:ascii="Times New Roman" w:hAnsi="Times New Roman" w:cs="Times New Roman"/>
          <w:sz w:val="24"/>
          <w:szCs w:val="24"/>
        </w:rPr>
        <w:t xml:space="preserve"> </w:t>
      </w:r>
      <w:r w:rsidRPr="003E7A82">
        <w:rPr>
          <w:rFonts w:ascii="Times New Roman" w:hAnsi="Times New Roman" w:cs="Times New Roman"/>
          <w:sz w:val="24"/>
          <w:szCs w:val="24"/>
        </w:rPr>
        <w:t>(2009)</w:t>
      </w:r>
      <w:r w:rsidR="00D90D6E" w:rsidRPr="003E7A82">
        <w:rPr>
          <w:rFonts w:ascii="Times New Roman" w:hAnsi="Times New Roman" w:cs="Times New Roman"/>
          <w:sz w:val="24"/>
          <w:szCs w:val="24"/>
        </w:rPr>
        <w:t>.</w:t>
      </w:r>
      <w:r w:rsidR="00CD1F94" w:rsidRPr="003E7A82">
        <w:rPr>
          <w:rFonts w:ascii="Times New Roman" w:hAnsi="Times New Roman" w:cs="Times New Roman"/>
          <w:sz w:val="24"/>
          <w:szCs w:val="24"/>
        </w:rPr>
        <w:t xml:space="preserve"> </w:t>
      </w:r>
      <w:r w:rsidR="00223857" w:rsidRPr="003E7A82">
        <w:rPr>
          <w:rFonts w:ascii="Times New Roman" w:hAnsi="Times New Roman" w:cs="Times New Roman"/>
          <w:i/>
          <w:iCs/>
          <w:sz w:val="24"/>
          <w:szCs w:val="24"/>
        </w:rPr>
        <w:t xml:space="preserve">La </w:t>
      </w:r>
      <w:r w:rsidR="00BD35AC" w:rsidRPr="003E7A82">
        <w:rPr>
          <w:rFonts w:ascii="Times New Roman" w:hAnsi="Times New Roman" w:cs="Times New Roman"/>
          <w:i/>
          <w:iCs/>
          <w:sz w:val="24"/>
          <w:szCs w:val="24"/>
        </w:rPr>
        <w:t>Responsabilidad Social Universi</w:t>
      </w:r>
      <w:r w:rsidR="00CD1F94" w:rsidRPr="003E7A82">
        <w:rPr>
          <w:rFonts w:ascii="Times New Roman" w:hAnsi="Times New Roman" w:cs="Times New Roman"/>
          <w:i/>
          <w:iCs/>
          <w:sz w:val="24"/>
          <w:szCs w:val="24"/>
        </w:rPr>
        <w:t>taria</w:t>
      </w:r>
      <w:r w:rsidR="00F30FF8" w:rsidRPr="003E7A82">
        <w:rPr>
          <w:rFonts w:ascii="Times New Roman" w:hAnsi="Times New Roman" w:cs="Times New Roman"/>
          <w:i/>
          <w:iCs/>
          <w:sz w:val="24"/>
          <w:szCs w:val="24"/>
        </w:rPr>
        <w:t xml:space="preserve"> (RSU)</w:t>
      </w:r>
      <w:r w:rsidR="00F30FF8" w:rsidRPr="003E7A82">
        <w:rPr>
          <w:rFonts w:ascii="Times New Roman" w:hAnsi="Times New Roman" w:cs="Times New Roman"/>
          <w:sz w:val="24"/>
          <w:szCs w:val="24"/>
        </w:rPr>
        <w:t>.</w:t>
      </w:r>
      <w:r w:rsidR="006E6030" w:rsidRPr="003E7A82">
        <w:rPr>
          <w:rFonts w:ascii="Times New Roman" w:hAnsi="Times New Roman" w:cs="Times New Roman"/>
          <w:sz w:val="24"/>
          <w:szCs w:val="24"/>
        </w:rPr>
        <w:t xml:space="preserve"> </w:t>
      </w:r>
      <w:r w:rsidR="00F30FF8" w:rsidRPr="003E7A82">
        <w:rPr>
          <w:rFonts w:ascii="Times New Roman" w:hAnsi="Times New Roman" w:cs="Times New Roman"/>
          <w:sz w:val="24"/>
          <w:szCs w:val="24"/>
        </w:rPr>
        <w:t xml:space="preserve">Huelva, España: </w:t>
      </w:r>
      <w:r w:rsidR="006E6030" w:rsidRPr="003E7A82">
        <w:rPr>
          <w:rFonts w:ascii="Times New Roman" w:hAnsi="Times New Roman" w:cs="Times New Roman"/>
          <w:sz w:val="24"/>
          <w:szCs w:val="24"/>
        </w:rPr>
        <w:t>Consejo Social</w:t>
      </w:r>
      <w:r w:rsidR="008F166B" w:rsidRPr="003E7A82">
        <w:rPr>
          <w:rFonts w:ascii="Times New Roman" w:hAnsi="Times New Roman" w:cs="Times New Roman"/>
          <w:sz w:val="24"/>
          <w:szCs w:val="24"/>
        </w:rPr>
        <w:t>,</w:t>
      </w:r>
      <w:r w:rsidR="00D44921" w:rsidRPr="003E7A82">
        <w:rPr>
          <w:rFonts w:ascii="Times New Roman" w:hAnsi="Times New Roman" w:cs="Times New Roman"/>
          <w:sz w:val="24"/>
          <w:szCs w:val="24"/>
        </w:rPr>
        <w:t xml:space="preserve"> Universidad de</w:t>
      </w:r>
      <w:r w:rsidR="008F166B" w:rsidRPr="003E7A82">
        <w:rPr>
          <w:rFonts w:ascii="Times New Roman" w:hAnsi="Times New Roman" w:cs="Times New Roman"/>
          <w:sz w:val="24"/>
          <w:szCs w:val="24"/>
        </w:rPr>
        <w:t xml:space="preserve"> Huelva</w:t>
      </w:r>
      <w:r w:rsidR="00F30FF8" w:rsidRPr="003E7A82">
        <w:rPr>
          <w:rFonts w:ascii="Times New Roman" w:hAnsi="Times New Roman" w:cs="Times New Roman"/>
          <w:sz w:val="24"/>
          <w:szCs w:val="24"/>
        </w:rPr>
        <w:t>.</w:t>
      </w:r>
      <w:r w:rsidRPr="003E7A82">
        <w:rPr>
          <w:rFonts w:ascii="Times New Roman" w:hAnsi="Times New Roman" w:cs="Times New Roman"/>
          <w:sz w:val="24"/>
          <w:szCs w:val="24"/>
        </w:rPr>
        <w:t xml:space="preserve"> </w:t>
      </w:r>
      <w:hyperlink r:id="rId31" w:history="1">
        <w:r w:rsidRPr="003E7A82">
          <w:rPr>
            <w:rStyle w:val="Hipervnculo"/>
            <w:rFonts w:ascii="Times New Roman" w:hAnsi="Times New Roman" w:cs="Times New Roman"/>
            <w:color w:val="auto"/>
            <w:sz w:val="24"/>
            <w:szCs w:val="24"/>
          </w:rPr>
          <w:t>https://web.unican.es/unidades/igualdad/Documents/responsabilidadsocialuniversitaria_UHU.pdf</w:t>
        </w:r>
      </w:hyperlink>
      <w:r w:rsidR="00D44921" w:rsidRPr="003E7A82">
        <w:rPr>
          <w:rStyle w:val="Hipervnculo"/>
          <w:rFonts w:ascii="Times New Roman" w:hAnsi="Times New Roman" w:cs="Times New Roman"/>
          <w:color w:val="auto"/>
          <w:sz w:val="24"/>
          <w:szCs w:val="24"/>
        </w:rPr>
        <w:t>.</w:t>
      </w:r>
    </w:p>
    <w:p w14:paraId="7FE97B9D" w14:textId="242ECCCD" w:rsidR="00FC5B34" w:rsidRPr="003E7A82" w:rsidRDefault="00FC5B34"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Porter, L</w:t>
      </w:r>
      <w:r w:rsidR="00572F02"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(2007)</w:t>
      </w:r>
      <w:r w:rsidR="00572F02"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Pr="003E7A82">
        <w:rPr>
          <w:rFonts w:ascii="Times New Roman" w:hAnsi="Times New Roman" w:cs="Times New Roman"/>
          <w:i/>
          <w:sz w:val="24"/>
          <w:szCs w:val="24"/>
        </w:rPr>
        <w:t>La universidad de papel</w:t>
      </w:r>
      <w:r w:rsidR="00065226"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U</w:t>
      </w:r>
      <w:r w:rsidR="00065226" w:rsidRPr="003E7A82">
        <w:rPr>
          <w:rFonts w:ascii="Times New Roman" w:hAnsi="Times New Roman" w:cs="Times New Roman"/>
          <w:iCs/>
          <w:sz w:val="24"/>
          <w:szCs w:val="24"/>
        </w:rPr>
        <w:t xml:space="preserve">niversidad </w:t>
      </w:r>
      <w:r w:rsidRPr="003E7A82">
        <w:rPr>
          <w:rFonts w:ascii="Times New Roman" w:hAnsi="Times New Roman" w:cs="Times New Roman"/>
          <w:iCs/>
          <w:sz w:val="24"/>
          <w:szCs w:val="24"/>
        </w:rPr>
        <w:t>N</w:t>
      </w:r>
      <w:r w:rsidR="00065226" w:rsidRPr="003E7A82">
        <w:rPr>
          <w:rFonts w:ascii="Times New Roman" w:hAnsi="Times New Roman" w:cs="Times New Roman"/>
          <w:iCs/>
          <w:sz w:val="24"/>
          <w:szCs w:val="24"/>
        </w:rPr>
        <w:t xml:space="preserve">acional </w:t>
      </w:r>
      <w:r w:rsidRPr="003E7A82">
        <w:rPr>
          <w:rFonts w:ascii="Times New Roman" w:hAnsi="Times New Roman" w:cs="Times New Roman"/>
          <w:iCs/>
          <w:sz w:val="24"/>
          <w:szCs w:val="24"/>
        </w:rPr>
        <w:t>A</w:t>
      </w:r>
      <w:r w:rsidR="00065226" w:rsidRPr="003E7A82">
        <w:rPr>
          <w:rFonts w:ascii="Times New Roman" w:hAnsi="Times New Roman" w:cs="Times New Roman"/>
          <w:iCs/>
          <w:sz w:val="24"/>
          <w:szCs w:val="24"/>
        </w:rPr>
        <w:t xml:space="preserve">utónoma de </w:t>
      </w:r>
      <w:r w:rsidR="00446BF1" w:rsidRPr="003E7A82">
        <w:rPr>
          <w:rFonts w:ascii="Times New Roman" w:hAnsi="Times New Roman" w:cs="Times New Roman"/>
          <w:iCs/>
          <w:sz w:val="24"/>
          <w:szCs w:val="24"/>
        </w:rPr>
        <w:t>México.</w:t>
      </w:r>
    </w:p>
    <w:p w14:paraId="0B5C6051" w14:textId="0650944B" w:rsidR="009A6269" w:rsidRPr="003E7A82" w:rsidRDefault="0003787D"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Ramos, G</w:t>
      </w:r>
      <w:r w:rsidR="00572F02"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(2014). </w:t>
      </w:r>
      <w:r w:rsidR="009A6269" w:rsidRPr="00E77F98">
        <w:rPr>
          <w:rFonts w:ascii="Times New Roman" w:hAnsi="Times New Roman" w:cs="Times New Roman"/>
          <w:i/>
          <w:iCs/>
          <w:sz w:val="24"/>
          <w:szCs w:val="24"/>
        </w:rPr>
        <w:t xml:space="preserve">Definición de </w:t>
      </w:r>
      <w:r w:rsidR="00392DD8" w:rsidRPr="00E77F98">
        <w:rPr>
          <w:rFonts w:ascii="Times New Roman" w:hAnsi="Times New Roman" w:cs="Times New Roman"/>
          <w:i/>
          <w:iCs/>
          <w:sz w:val="24"/>
          <w:szCs w:val="24"/>
        </w:rPr>
        <w:t>m</w:t>
      </w:r>
      <w:r w:rsidR="009A6269" w:rsidRPr="00E77F98">
        <w:rPr>
          <w:rFonts w:ascii="Times New Roman" w:hAnsi="Times New Roman" w:cs="Times New Roman"/>
          <w:i/>
          <w:iCs/>
          <w:sz w:val="24"/>
          <w:szCs w:val="24"/>
        </w:rPr>
        <w:t>odel</w:t>
      </w:r>
      <w:r w:rsidRPr="00E77F98">
        <w:rPr>
          <w:rFonts w:ascii="Times New Roman" w:hAnsi="Times New Roman" w:cs="Times New Roman"/>
          <w:i/>
          <w:iCs/>
          <w:sz w:val="24"/>
          <w:szCs w:val="24"/>
        </w:rPr>
        <w:t>o educativo</w:t>
      </w:r>
      <w:r w:rsidR="00392DD8" w:rsidRPr="003E7A82">
        <w:rPr>
          <w:rFonts w:ascii="Times New Roman" w:hAnsi="Times New Roman" w:cs="Times New Roman"/>
          <w:iCs/>
          <w:sz w:val="24"/>
          <w:szCs w:val="24"/>
        </w:rPr>
        <w:t>.</w:t>
      </w:r>
      <w:r w:rsidR="009A6269" w:rsidRPr="003E7A82">
        <w:rPr>
          <w:rFonts w:ascii="Times New Roman" w:hAnsi="Times New Roman" w:cs="Times New Roman"/>
          <w:iCs/>
          <w:sz w:val="24"/>
          <w:szCs w:val="24"/>
        </w:rPr>
        <w:t xml:space="preserve"> </w:t>
      </w:r>
      <w:r w:rsidR="009A6269" w:rsidRPr="003E7A82">
        <w:rPr>
          <w:rFonts w:ascii="Times New Roman" w:hAnsi="Times New Roman" w:cs="Times New Roman"/>
          <w:i/>
          <w:sz w:val="24"/>
          <w:szCs w:val="24"/>
        </w:rPr>
        <w:t>Enciclopedia Asigna</w:t>
      </w:r>
      <w:r w:rsidR="00392DD8" w:rsidRPr="003E7A82">
        <w:rPr>
          <w:rFonts w:ascii="Times New Roman" w:hAnsi="Times New Roman" w:cs="Times New Roman"/>
          <w:iCs/>
          <w:sz w:val="24"/>
          <w:szCs w:val="24"/>
        </w:rPr>
        <w:t xml:space="preserve"> (Edición 16).</w:t>
      </w:r>
      <w:r w:rsidR="009A6269" w:rsidRPr="003E7A82">
        <w:rPr>
          <w:rFonts w:ascii="Times New Roman" w:hAnsi="Times New Roman" w:cs="Times New Roman"/>
          <w:iCs/>
          <w:sz w:val="24"/>
          <w:szCs w:val="24"/>
        </w:rPr>
        <w:t xml:space="preserve"> </w:t>
      </w:r>
      <w:hyperlink r:id="rId32" w:history="1">
        <w:r w:rsidR="009A6269" w:rsidRPr="003E7A82">
          <w:rPr>
            <w:rStyle w:val="Hipervnculo"/>
            <w:rFonts w:ascii="Times New Roman" w:hAnsi="Times New Roman" w:cs="Times New Roman"/>
            <w:iCs/>
            <w:color w:val="auto"/>
            <w:sz w:val="24"/>
            <w:szCs w:val="24"/>
          </w:rPr>
          <w:t>https://enciclopedia.net/modelo-educativo/</w:t>
        </w:r>
      </w:hyperlink>
      <w:r w:rsidR="009A6269" w:rsidRPr="003E7A82">
        <w:rPr>
          <w:rFonts w:ascii="Times New Roman" w:hAnsi="Times New Roman" w:cs="Times New Roman"/>
          <w:iCs/>
          <w:sz w:val="24"/>
          <w:szCs w:val="24"/>
        </w:rPr>
        <w:t>.</w:t>
      </w:r>
    </w:p>
    <w:p w14:paraId="7DEDF60B" w14:textId="3D61D8FC" w:rsidR="003B0247" w:rsidRPr="003E7A82" w:rsidRDefault="003B0247"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Rodrik, D</w:t>
      </w:r>
      <w:r w:rsidR="004B3C4E"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(2003)</w:t>
      </w:r>
      <w:r w:rsidR="004B3C4E"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Pr="003E7A82">
        <w:rPr>
          <w:rFonts w:ascii="Times New Roman" w:hAnsi="Times New Roman" w:cs="Times New Roman"/>
          <w:i/>
          <w:sz w:val="24"/>
          <w:szCs w:val="24"/>
        </w:rPr>
        <w:t xml:space="preserve">En </w:t>
      </w:r>
      <w:r w:rsidR="00392DD8" w:rsidRPr="003E7A82">
        <w:rPr>
          <w:rFonts w:ascii="Times New Roman" w:hAnsi="Times New Roman" w:cs="Times New Roman"/>
          <w:i/>
          <w:sz w:val="24"/>
          <w:szCs w:val="24"/>
        </w:rPr>
        <w:t>búsqueda de la prosperidad: narrativas analíticas de crecimiento económico</w:t>
      </w:r>
      <w:r w:rsidR="00392DD8"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00392DD8" w:rsidRPr="003E7A82">
        <w:rPr>
          <w:rFonts w:ascii="Times New Roman" w:hAnsi="Times New Roman" w:cs="Times New Roman"/>
          <w:iCs/>
          <w:sz w:val="24"/>
          <w:szCs w:val="24"/>
        </w:rPr>
        <w:t xml:space="preserve">Princeton, Estados Unidos: </w:t>
      </w:r>
      <w:r w:rsidRPr="003E7A82">
        <w:rPr>
          <w:rFonts w:ascii="Times New Roman" w:hAnsi="Times New Roman" w:cs="Times New Roman"/>
          <w:iCs/>
          <w:sz w:val="24"/>
          <w:szCs w:val="24"/>
        </w:rPr>
        <w:t xml:space="preserve">Princeton </w:t>
      </w:r>
      <w:proofErr w:type="spellStart"/>
      <w:r w:rsidRPr="003E7A82">
        <w:rPr>
          <w:rFonts w:ascii="Times New Roman" w:hAnsi="Times New Roman" w:cs="Times New Roman"/>
          <w:iCs/>
          <w:sz w:val="24"/>
          <w:szCs w:val="24"/>
        </w:rPr>
        <w:t>University</w:t>
      </w:r>
      <w:proofErr w:type="spellEnd"/>
      <w:r w:rsidRPr="003E7A82">
        <w:rPr>
          <w:rFonts w:ascii="Times New Roman" w:hAnsi="Times New Roman" w:cs="Times New Roman"/>
          <w:iCs/>
          <w:sz w:val="24"/>
          <w:szCs w:val="24"/>
        </w:rPr>
        <w:t xml:space="preserve"> Press.</w:t>
      </w:r>
    </w:p>
    <w:p w14:paraId="3B6D04F3" w14:textId="140512BC" w:rsidR="00392DD8" w:rsidRPr="003E7A82" w:rsidRDefault="008B2AC6"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Rueda Galvis, J</w:t>
      </w:r>
      <w:r w:rsidR="00BF4903"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F</w:t>
      </w:r>
      <w:r w:rsidR="004B3C4E" w:rsidRPr="003E7A82">
        <w:rPr>
          <w:rFonts w:ascii="Times New Roman" w:hAnsi="Times New Roman" w:cs="Times New Roman"/>
          <w:iCs/>
          <w:sz w:val="24"/>
          <w:szCs w:val="24"/>
        </w:rPr>
        <w:t>.</w:t>
      </w:r>
      <w:r w:rsidR="00D20151" w:rsidRPr="003E7A82">
        <w:rPr>
          <w:rFonts w:ascii="Times New Roman" w:hAnsi="Times New Roman" w:cs="Times New Roman"/>
          <w:iCs/>
          <w:sz w:val="24"/>
          <w:szCs w:val="24"/>
        </w:rPr>
        <w:t xml:space="preserve"> (2008)</w:t>
      </w:r>
      <w:r w:rsidR="004B3C4E" w:rsidRPr="003E7A82">
        <w:rPr>
          <w:rFonts w:ascii="Times New Roman" w:hAnsi="Times New Roman" w:cs="Times New Roman"/>
          <w:iCs/>
          <w:sz w:val="24"/>
          <w:szCs w:val="24"/>
        </w:rPr>
        <w:t>.</w:t>
      </w:r>
      <w:r w:rsidR="00D20151" w:rsidRPr="003E7A82">
        <w:rPr>
          <w:rFonts w:ascii="Times New Roman" w:hAnsi="Times New Roman" w:cs="Times New Roman"/>
          <w:iCs/>
          <w:sz w:val="24"/>
          <w:szCs w:val="24"/>
        </w:rPr>
        <w:t xml:space="preserve"> </w:t>
      </w:r>
      <w:r w:rsidR="00F76C6F" w:rsidRPr="003E7A82">
        <w:rPr>
          <w:rFonts w:ascii="Times New Roman" w:hAnsi="Times New Roman" w:cs="Times New Roman"/>
          <w:iCs/>
          <w:sz w:val="24"/>
          <w:szCs w:val="24"/>
        </w:rPr>
        <w:t xml:space="preserve">Los </w:t>
      </w:r>
      <w:r w:rsidR="00392DD8" w:rsidRPr="003E7A82">
        <w:rPr>
          <w:rFonts w:ascii="Times New Roman" w:hAnsi="Times New Roman" w:cs="Times New Roman"/>
          <w:iCs/>
          <w:sz w:val="24"/>
          <w:szCs w:val="24"/>
        </w:rPr>
        <w:t>procesos de internacionalización de la empresa: causas y estrategias</w:t>
      </w:r>
      <w:r w:rsidR="00F76C6F" w:rsidRPr="003E7A82">
        <w:rPr>
          <w:rFonts w:ascii="Times New Roman" w:hAnsi="Times New Roman" w:cs="Times New Roman"/>
          <w:iCs/>
          <w:sz w:val="24"/>
          <w:szCs w:val="24"/>
        </w:rPr>
        <w:t xml:space="preserve"> que l</w:t>
      </w:r>
      <w:r w:rsidR="00500C62" w:rsidRPr="003E7A82">
        <w:rPr>
          <w:rFonts w:ascii="Times New Roman" w:hAnsi="Times New Roman" w:cs="Times New Roman"/>
          <w:iCs/>
          <w:sz w:val="24"/>
          <w:szCs w:val="24"/>
        </w:rPr>
        <w:t>a</w:t>
      </w:r>
      <w:r w:rsidR="00F76C6F" w:rsidRPr="003E7A82">
        <w:rPr>
          <w:rFonts w:ascii="Times New Roman" w:hAnsi="Times New Roman" w:cs="Times New Roman"/>
          <w:iCs/>
          <w:sz w:val="24"/>
          <w:szCs w:val="24"/>
        </w:rPr>
        <w:t xml:space="preserve"> </w:t>
      </w:r>
      <w:r w:rsidR="00C91EBE" w:rsidRPr="003E7A82">
        <w:rPr>
          <w:rFonts w:ascii="Times New Roman" w:hAnsi="Times New Roman" w:cs="Times New Roman"/>
          <w:iCs/>
          <w:sz w:val="24"/>
          <w:szCs w:val="24"/>
        </w:rPr>
        <w:t>p</w:t>
      </w:r>
      <w:r w:rsidR="00F76C6F" w:rsidRPr="003E7A82">
        <w:rPr>
          <w:rFonts w:ascii="Times New Roman" w:hAnsi="Times New Roman" w:cs="Times New Roman"/>
          <w:iCs/>
          <w:sz w:val="24"/>
          <w:szCs w:val="24"/>
        </w:rPr>
        <w:t>romueven</w:t>
      </w:r>
      <w:r w:rsidR="00392DD8" w:rsidRPr="003E7A82">
        <w:rPr>
          <w:rFonts w:ascii="Times New Roman" w:hAnsi="Times New Roman" w:cs="Times New Roman"/>
          <w:iCs/>
          <w:sz w:val="24"/>
          <w:szCs w:val="24"/>
        </w:rPr>
        <w:t>.</w:t>
      </w:r>
      <w:r w:rsidR="00C91EBE" w:rsidRPr="003E7A82">
        <w:rPr>
          <w:rFonts w:ascii="Times New Roman" w:hAnsi="Times New Roman" w:cs="Times New Roman"/>
          <w:iCs/>
          <w:sz w:val="24"/>
          <w:szCs w:val="24"/>
        </w:rPr>
        <w:t xml:space="preserve"> </w:t>
      </w:r>
      <w:r w:rsidRPr="003E7A82">
        <w:rPr>
          <w:rFonts w:ascii="Times New Roman" w:hAnsi="Times New Roman" w:cs="Times New Roman"/>
          <w:i/>
          <w:sz w:val="24"/>
          <w:szCs w:val="24"/>
        </w:rPr>
        <w:t>Cuadernos Latinoamericanos de Administración</w:t>
      </w:r>
      <w:r w:rsidR="00392DD8" w:rsidRPr="003E7A82">
        <w:rPr>
          <w:rFonts w:ascii="Times New Roman" w:hAnsi="Times New Roman" w:cs="Times New Roman"/>
          <w:i/>
          <w:sz w:val="24"/>
          <w:szCs w:val="24"/>
        </w:rPr>
        <w:t>, (IV)</w:t>
      </w:r>
      <w:r w:rsidRPr="003E7A82">
        <w:rPr>
          <w:rFonts w:ascii="Times New Roman" w:hAnsi="Times New Roman" w:cs="Times New Roman"/>
          <w:iCs/>
          <w:sz w:val="24"/>
          <w:szCs w:val="24"/>
        </w:rPr>
        <w:t>7, 51-57</w:t>
      </w:r>
      <w:r w:rsidR="00C91EBE" w:rsidRPr="003E7A82">
        <w:rPr>
          <w:rFonts w:ascii="Times New Roman" w:hAnsi="Times New Roman" w:cs="Times New Roman"/>
          <w:iCs/>
          <w:sz w:val="24"/>
          <w:szCs w:val="24"/>
        </w:rPr>
        <w:t>.</w:t>
      </w:r>
    </w:p>
    <w:p w14:paraId="1B783C4E" w14:textId="1621DC38" w:rsidR="00D14643" w:rsidRPr="003E7A82" w:rsidRDefault="00FC5B34"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Statista</w:t>
      </w:r>
      <w:r w:rsidR="004B3C4E"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(202</w:t>
      </w:r>
      <w:r w:rsidR="00BC4494" w:rsidRPr="003E7A82">
        <w:rPr>
          <w:rFonts w:ascii="Times New Roman" w:hAnsi="Times New Roman" w:cs="Times New Roman"/>
          <w:iCs/>
          <w:sz w:val="24"/>
          <w:szCs w:val="24"/>
        </w:rPr>
        <w:t>3</w:t>
      </w:r>
      <w:r w:rsidRPr="003E7A82">
        <w:rPr>
          <w:rFonts w:ascii="Times New Roman" w:hAnsi="Times New Roman" w:cs="Times New Roman"/>
          <w:iCs/>
          <w:sz w:val="24"/>
          <w:szCs w:val="24"/>
        </w:rPr>
        <w:t>)</w:t>
      </w:r>
      <w:r w:rsidR="004B3C4E"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Pr="003E7A82">
        <w:rPr>
          <w:rFonts w:ascii="Times New Roman" w:hAnsi="Times New Roman" w:cs="Times New Roman"/>
          <w:i/>
          <w:sz w:val="24"/>
          <w:szCs w:val="24"/>
        </w:rPr>
        <w:t>La industria automovilística en México–Datos estadísticos</w:t>
      </w:r>
      <w:r w:rsidR="00392DD8" w:rsidRPr="003E7A82">
        <w:rPr>
          <w:rFonts w:ascii="Times New Roman" w:hAnsi="Times New Roman" w:cs="Times New Roman"/>
          <w:iCs/>
          <w:sz w:val="24"/>
          <w:szCs w:val="24"/>
        </w:rPr>
        <w:t>.</w:t>
      </w:r>
      <w:r w:rsidR="00D16A02" w:rsidRPr="003E7A82">
        <w:rPr>
          <w:rFonts w:ascii="Times New Roman" w:hAnsi="Times New Roman" w:cs="Times New Roman"/>
          <w:iCs/>
          <w:sz w:val="24"/>
          <w:szCs w:val="24"/>
        </w:rPr>
        <w:t xml:space="preserve"> </w:t>
      </w:r>
      <w:hyperlink r:id="rId33" w:history="1">
        <w:r w:rsidR="00D16A02" w:rsidRPr="003E7A82">
          <w:rPr>
            <w:rStyle w:val="Hipervnculo"/>
            <w:rFonts w:ascii="Times New Roman" w:hAnsi="Times New Roman" w:cs="Times New Roman"/>
            <w:iCs/>
            <w:color w:val="auto"/>
            <w:sz w:val="24"/>
            <w:szCs w:val="24"/>
          </w:rPr>
          <w:t>https://es.statista.com/temas/6404/la-industria-automotriz-en-mexico/</w:t>
        </w:r>
      </w:hyperlink>
      <w:r w:rsidR="00D16A02" w:rsidRPr="003E7A82">
        <w:rPr>
          <w:rFonts w:ascii="Times New Roman" w:hAnsi="Times New Roman" w:cs="Times New Roman"/>
          <w:iCs/>
          <w:sz w:val="24"/>
          <w:szCs w:val="24"/>
        </w:rPr>
        <w:t>.</w:t>
      </w:r>
    </w:p>
    <w:p w14:paraId="517F7540" w14:textId="1C215366" w:rsidR="00066079" w:rsidRDefault="00066079"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UNAM</w:t>
      </w:r>
      <w:r w:rsidR="004B3C4E"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(2019). </w:t>
      </w:r>
      <w:r w:rsidRPr="003E7A82">
        <w:rPr>
          <w:rFonts w:ascii="Times New Roman" w:hAnsi="Times New Roman" w:cs="Times New Roman"/>
          <w:sz w:val="24"/>
          <w:szCs w:val="24"/>
        </w:rPr>
        <w:t>100 propuestas para el desarrollo 2019-2024</w:t>
      </w:r>
      <w:r w:rsidRPr="003E7A82">
        <w:rPr>
          <w:rFonts w:ascii="Times New Roman" w:hAnsi="Times New Roman" w:cs="Times New Roman"/>
          <w:i/>
          <w:iCs/>
          <w:sz w:val="24"/>
          <w:szCs w:val="24"/>
        </w:rPr>
        <w:t>.</w:t>
      </w:r>
      <w:r w:rsidR="003A3102" w:rsidRPr="003E7A82">
        <w:rPr>
          <w:rFonts w:ascii="Times New Roman" w:hAnsi="Times New Roman" w:cs="Times New Roman"/>
          <w:i/>
          <w:iCs/>
          <w:sz w:val="24"/>
          <w:szCs w:val="24"/>
        </w:rPr>
        <w:t xml:space="preserve"> </w:t>
      </w:r>
      <w:r w:rsidR="003A3102" w:rsidRPr="003E7A82">
        <w:rPr>
          <w:rFonts w:ascii="Times New Roman" w:hAnsi="Times New Roman" w:cs="Times New Roman"/>
          <w:i/>
          <w:sz w:val="24"/>
          <w:szCs w:val="24"/>
        </w:rPr>
        <w:t xml:space="preserve">Cuadernos de </w:t>
      </w:r>
      <w:r w:rsidR="00BC4494" w:rsidRPr="003E7A82">
        <w:rPr>
          <w:rFonts w:ascii="Times New Roman" w:hAnsi="Times New Roman" w:cs="Times New Roman"/>
          <w:i/>
          <w:sz w:val="24"/>
          <w:szCs w:val="24"/>
        </w:rPr>
        <w:t>G</w:t>
      </w:r>
      <w:r w:rsidR="003A3102" w:rsidRPr="003E7A82">
        <w:rPr>
          <w:rFonts w:ascii="Times New Roman" w:hAnsi="Times New Roman" w:cs="Times New Roman"/>
          <w:i/>
          <w:sz w:val="24"/>
          <w:szCs w:val="24"/>
        </w:rPr>
        <w:t xml:space="preserve">obernabilidad y </w:t>
      </w:r>
      <w:r w:rsidR="00BC4494" w:rsidRPr="003E7A82">
        <w:rPr>
          <w:rFonts w:ascii="Times New Roman" w:hAnsi="Times New Roman" w:cs="Times New Roman"/>
          <w:i/>
          <w:sz w:val="24"/>
          <w:szCs w:val="24"/>
        </w:rPr>
        <w:t>F</w:t>
      </w:r>
      <w:r w:rsidR="003A3102" w:rsidRPr="003E7A82">
        <w:rPr>
          <w:rFonts w:ascii="Times New Roman" w:hAnsi="Times New Roman" w:cs="Times New Roman"/>
          <w:i/>
          <w:sz w:val="24"/>
          <w:szCs w:val="24"/>
        </w:rPr>
        <w:t xml:space="preserve">iscalización, </w:t>
      </w:r>
      <w:r w:rsidR="00BC4494" w:rsidRPr="003E7A82">
        <w:rPr>
          <w:rFonts w:ascii="Times New Roman" w:hAnsi="Times New Roman" w:cs="Times New Roman"/>
          <w:i/>
          <w:sz w:val="24"/>
          <w:szCs w:val="24"/>
        </w:rPr>
        <w:t>(</w:t>
      </w:r>
      <w:r w:rsidR="003A3102" w:rsidRPr="003E7A82">
        <w:rPr>
          <w:rFonts w:ascii="Times New Roman" w:hAnsi="Times New Roman" w:cs="Times New Roman"/>
          <w:i/>
          <w:sz w:val="24"/>
          <w:szCs w:val="24"/>
        </w:rPr>
        <w:t>I</w:t>
      </w:r>
      <w:r w:rsidR="00BC4494" w:rsidRPr="003E7A82">
        <w:rPr>
          <w:rFonts w:ascii="Times New Roman" w:hAnsi="Times New Roman" w:cs="Times New Roman"/>
          <w:i/>
          <w:sz w:val="24"/>
          <w:szCs w:val="24"/>
        </w:rPr>
        <w:t>)</w:t>
      </w:r>
      <w:r w:rsidR="003A3102" w:rsidRPr="003E7A82">
        <w:rPr>
          <w:rFonts w:ascii="Times New Roman" w:hAnsi="Times New Roman" w:cs="Times New Roman"/>
          <w:iCs/>
          <w:sz w:val="24"/>
          <w:szCs w:val="24"/>
        </w:rPr>
        <w:t>28</w:t>
      </w:r>
      <w:r w:rsidR="00BC4494" w:rsidRPr="003E7A82">
        <w:rPr>
          <w:rFonts w:ascii="Times New Roman" w:hAnsi="Times New Roman" w:cs="Times New Roman"/>
          <w:iCs/>
          <w:sz w:val="24"/>
          <w:szCs w:val="24"/>
        </w:rPr>
        <w:t>,</w:t>
      </w:r>
      <w:r w:rsidR="003A3102" w:rsidRPr="003E7A82">
        <w:rPr>
          <w:rFonts w:ascii="Times New Roman" w:hAnsi="Times New Roman" w:cs="Times New Roman"/>
          <w:iCs/>
          <w:sz w:val="24"/>
          <w:szCs w:val="24"/>
        </w:rPr>
        <w:t xml:space="preserve"> 22-25.</w:t>
      </w:r>
    </w:p>
    <w:p w14:paraId="1F833152" w14:textId="14ADE2B5" w:rsidR="003E2332" w:rsidRPr="003E7A82" w:rsidRDefault="003E2332" w:rsidP="00E77F98">
      <w:pPr>
        <w:tabs>
          <w:tab w:val="left" w:pos="284"/>
        </w:tabs>
        <w:spacing w:before="40" w:after="40" w:line="360" w:lineRule="auto"/>
        <w:ind w:left="993" w:hanging="993"/>
        <w:jc w:val="both"/>
        <w:rPr>
          <w:rFonts w:ascii="Times New Roman" w:hAnsi="Times New Roman" w:cs="Times New Roman"/>
          <w:iCs/>
          <w:sz w:val="24"/>
          <w:szCs w:val="24"/>
        </w:rPr>
      </w:pPr>
      <w:r>
        <w:rPr>
          <w:rFonts w:ascii="Times New Roman" w:hAnsi="Times New Roman" w:cs="Times New Roman"/>
          <w:iCs/>
          <w:sz w:val="24"/>
          <w:szCs w:val="24"/>
        </w:rPr>
        <w:t xml:space="preserve">UNESCO (2009). </w:t>
      </w:r>
      <w:r w:rsidRPr="003E2332">
        <w:rPr>
          <w:rFonts w:ascii="Times New Roman" w:hAnsi="Times New Roman" w:cs="Times New Roman"/>
          <w:i/>
          <w:sz w:val="24"/>
          <w:szCs w:val="24"/>
        </w:rPr>
        <w:t>Conferencia Mundial sobre Educación Superior 2009 - Las nuevas dinámicas de la educación superior y de la investigación para el cambio social y el desarrollo</w:t>
      </w:r>
      <w:r w:rsidRPr="003E2332">
        <w:rPr>
          <w:rFonts w:ascii="Times New Roman" w:hAnsi="Times New Roman" w:cs="Times New Roman"/>
          <w:iCs/>
          <w:sz w:val="24"/>
          <w:szCs w:val="24"/>
        </w:rPr>
        <w:t>, Paris, 2009</w:t>
      </w:r>
      <w:r>
        <w:rPr>
          <w:rFonts w:ascii="Times New Roman" w:hAnsi="Times New Roman" w:cs="Times New Roman"/>
          <w:iCs/>
          <w:sz w:val="24"/>
          <w:szCs w:val="24"/>
        </w:rPr>
        <w:t>.</w:t>
      </w:r>
      <w:r w:rsidRPr="003E2332">
        <w:t xml:space="preserve"> </w:t>
      </w:r>
      <w:hyperlink r:id="rId34" w:history="1">
        <w:r w:rsidRPr="00DD17AE">
          <w:rPr>
            <w:rStyle w:val="Hipervnculo"/>
            <w:rFonts w:ascii="Times New Roman" w:hAnsi="Times New Roman" w:cs="Times New Roman"/>
            <w:iCs/>
            <w:sz w:val="24"/>
            <w:szCs w:val="24"/>
          </w:rPr>
          <w:t>https://unesdoc.unesco.org/search/N-EXPLORE-071b9414-18cf-451a-9d55-22f1ab99669b</w:t>
        </w:r>
      </w:hyperlink>
      <w:r>
        <w:rPr>
          <w:rFonts w:ascii="Times New Roman" w:hAnsi="Times New Roman" w:cs="Times New Roman"/>
          <w:iCs/>
          <w:sz w:val="24"/>
          <w:szCs w:val="24"/>
        </w:rPr>
        <w:t xml:space="preserve"> </w:t>
      </w:r>
    </w:p>
    <w:p w14:paraId="7A5A010C" w14:textId="1DEFC555" w:rsidR="00F83755" w:rsidRDefault="00423BF0" w:rsidP="00E77F98">
      <w:pPr>
        <w:tabs>
          <w:tab w:val="left" w:pos="284"/>
        </w:tabs>
        <w:spacing w:before="40" w:after="40" w:line="360" w:lineRule="auto"/>
        <w:ind w:left="993" w:hanging="993"/>
        <w:jc w:val="both"/>
        <w:rPr>
          <w:rFonts w:ascii="Times New Roman" w:hAnsi="Times New Roman" w:cs="Times New Roman"/>
          <w:iCs/>
          <w:sz w:val="24"/>
          <w:szCs w:val="24"/>
        </w:rPr>
      </w:pPr>
      <w:r w:rsidRPr="004D6263">
        <w:rPr>
          <w:rFonts w:ascii="Times New Roman" w:hAnsi="Times New Roman" w:cs="Times New Roman"/>
          <w:iCs/>
          <w:sz w:val="24"/>
          <w:szCs w:val="24"/>
        </w:rPr>
        <w:t>Viteri</w:t>
      </w:r>
      <w:r w:rsidR="0048491F" w:rsidRPr="004D6263">
        <w:rPr>
          <w:rFonts w:ascii="Times New Roman" w:hAnsi="Times New Roman" w:cs="Times New Roman"/>
          <w:iCs/>
          <w:sz w:val="24"/>
          <w:szCs w:val="24"/>
        </w:rPr>
        <w:t xml:space="preserve"> Moya, J</w:t>
      </w:r>
      <w:r w:rsidR="00BF4903" w:rsidRPr="004D6263">
        <w:rPr>
          <w:rFonts w:ascii="Times New Roman" w:hAnsi="Times New Roman" w:cs="Times New Roman"/>
          <w:iCs/>
          <w:sz w:val="24"/>
          <w:szCs w:val="24"/>
        </w:rPr>
        <w:t>.</w:t>
      </w:r>
      <w:r w:rsidR="0048491F" w:rsidRPr="004D6263">
        <w:rPr>
          <w:rFonts w:ascii="Times New Roman" w:hAnsi="Times New Roman" w:cs="Times New Roman"/>
          <w:iCs/>
          <w:sz w:val="24"/>
          <w:szCs w:val="24"/>
        </w:rPr>
        <w:t xml:space="preserve"> (2010). Responsabilidad social, </w:t>
      </w:r>
      <w:r w:rsidR="0048491F" w:rsidRPr="004D6263">
        <w:rPr>
          <w:rFonts w:ascii="Times New Roman" w:hAnsi="Times New Roman" w:cs="Times New Roman"/>
          <w:i/>
          <w:sz w:val="24"/>
          <w:szCs w:val="24"/>
        </w:rPr>
        <w:t>Enfoque</w:t>
      </w:r>
      <w:r w:rsidR="00BC4494" w:rsidRPr="004D6263">
        <w:rPr>
          <w:rFonts w:ascii="Times New Roman" w:hAnsi="Times New Roman" w:cs="Times New Roman"/>
          <w:i/>
          <w:sz w:val="24"/>
          <w:szCs w:val="24"/>
        </w:rPr>
        <w:t xml:space="preserve"> UTE</w:t>
      </w:r>
      <w:r w:rsidR="0048491F" w:rsidRPr="004D6263">
        <w:rPr>
          <w:rFonts w:ascii="Times New Roman" w:hAnsi="Times New Roman" w:cs="Times New Roman"/>
          <w:iCs/>
          <w:sz w:val="24"/>
          <w:szCs w:val="24"/>
        </w:rPr>
        <w:t xml:space="preserve">, </w:t>
      </w:r>
      <w:r w:rsidR="0048491F" w:rsidRPr="004D6263">
        <w:rPr>
          <w:rFonts w:ascii="Times New Roman" w:hAnsi="Times New Roman" w:cs="Times New Roman"/>
          <w:i/>
          <w:sz w:val="24"/>
          <w:szCs w:val="24"/>
        </w:rPr>
        <w:t>1</w:t>
      </w:r>
      <w:r w:rsidR="0048491F" w:rsidRPr="004D6263">
        <w:rPr>
          <w:rFonts w:ascii="Times New Roman" w:hAnsi="Times New Roman" w:cs="Times New Roman"/>
          <w:iCs/>
          <w:sz w:val="24"/>
          <w:szCs w:val="24"/>
        </w:rPr>
        <w:t>(</w:t>
      </w:r>
      <w:r w:rsidR="00BC4494" w:rsidRPr="004D6263">
        <w:rPr>
          <w:rFonts w:ascii="Times New Roman" w:hAnsi="Times New Roman" w:cs="Times New Roman"/>
          <w:iCs/>
          <w:sz w:val="24"/>
          <w:szCs w:val="24"/>
        </w:rPr>
        <w:t>1</w:t>
      </w:r>
      <w:r w:rsidR="0048491F" w:rsidRPr="004D6263">
        <w:rPr>
          <w:rFonts w:ascii="Times New Roman" w:hAnsi="Times New Roman" w:cs="Times New Roman"/>
          <w:iCs/>
          <w:sz w:val="24"/>
          <w:szCs w:val="24"/>
        </w:rPr>
        <w:t>), 90-100.</w:t>
      </w:r>
      <w:r w:rsidR="003A4CB8" w:rsidRPr="003E7A82">
        <w:rPr>
          <w:rFonts w:ascii="Times New Roman" w:hAnsi="Times New Roman" w:cs="Times New Roman"/>
          <w:iCs/>
          <w:sz w:val="24"/>
          <w:szCs w:val="24"/>
        </w:rPr>
        <w:t xml:space="preserve"> </w:t>
      </w:r>
      <w:hyperlink r:id="rId35" w:history="1">
        <w:r w:rsidR="001A3C83" w:rsidRPr="00955955">
          <w:rPr>
            <w:rStyle w:val="Hipervnculo"/>
            <w:rFonts w:ascii="Times New Roman" w:hAnsi="Times New Roman" w:cs="Times New Roman"/>
            <w:iCs/>
            <w:sz w:val="24"/>
            <w:szCs w:val="24"/>
          </w:rPr>
          <w:t>https://www.redalyc.org/articulo.oa?id=572260832008</w:t>
        </w:r>
      </w:hyperlink>
      <w:r w:rsidR="00BC4494" w:rsidRPr="003E7A82">
        <w:rPr>
          <w:rFonts w:ascii="Times New Roman" w:hAnsi="Times New Roman" w:cs="Times New Roman"/>
          <w:iCs/>
          <w:sz w:val="24"/>
          <w:szCs w:val="24"/>
        </w:rPr>
        <w:t>.</w:t>
      </w:r>
    </w:p>
    <w:p w14:paraId="641FDE0A" w14:textId="77777777" w:rsidR="001A3C83" w:rsidRDefault="001A3C83" w:rsidP="00E77F98">
      <w:pPr>
        <w:tabs>
          <w:tab w:val="left" w:pos="284"/>
        </w:tabs>
        <w:spacing w:before="40" w:after="40" w:line="360" w:lineRule="auto"/>
        <w:ind w:left="993" w:hanging="993"/>
        <w:jc w:val="both"/>
        <w:rPr>
          <w:rFonts w:ascii="Times New Roman" w:hAnsi="Times New Roman" w:cs="Times New Roman"/>
          <w:iCs/>
          <w:sz w:val="24"/>
          <w:szCs w:val="24"/>
        </w:rPr>
      </w:pPr>
    </w:p>
    <w:p w14:paraId="3F147EE8" w14:textId="77777777" w:rsidR="001A3C83" w:rsidRDefault="001A3C83" w:rsidP="00E77F98">
      <w:pPr>
        <w:tabs>
          <w:tab w:val="left" w:pos="284"/>
        </w:tabs>
        <w:spacing w:before="40" w:after="40" w:line="360" w:lineRule="auto"/>
        <w:ind w:left="993" w:hanging="993"/>
        <w:jc w:val="both"/>
        <w:rPr>
          <w:rFonts w:ascii="Times New Roman" w:hAnsi="Times New Roman" w:cs="Times New Roman"/>
          <w:iCs/>
          <w:sz w:val="24"/>
          <w:szCs w:val="24"/>
        </w:rPr>
      </w:pPr>
    </w:p>
    <w:p w14:paraId="359E7A11" w14:textId="77777777" w:rsidR="001A3C83" w:rsidRDefault="001A3C83" w:rsidP="00E77F98">
      <w:pPr>
        <w:tabs>
          <w:tab w:val="left" w:pos="284"/>
        </w:tabs>
        <w:spacing w:before="40" w:after="40" w:line="360" w:lineRule="auto"/>
        <w:ind w:left="993" w:hanging="993"/>
        <w:jc w:val="both"/>
        <w:rPr>
          <w:rFonts w:ascii="Times New Roman" w:hAnsi="Times New Roman" w:cs="Times New Roman"/>
          <w:iCs/>
          <w:sz w:val="24"/>
          <w:szCs w:val="24"/>
        </w:rPr>
      </w:pPr>
    </w:p>
    <w:p w14:paraId="55BCC07B" w14:textId="77777777" w:rsidR="001A3C83" w:rsidRDefault="001A3C83" w:rsidP="00E77F98">
      <w:pPr>
        <w:tabs>
          <w:tab w:val="left" w:pos="284"/>
        </w:tabs>
        <w:spacing w:before="40" w:after="40" w:line="360" w:lineRule="auto"/>
        <w:ind w:left="993" w:hanging="993"/>
        <w:jc w:val="both"/>
        <w:rPr>
          <w:rFonts w:ascii="Times New Roman" w:hAnsi="Times New Roman" w:cs="Times New Roman"/>
          <w:iCs/>
          <w:sz w:val="24"/>
          <w:szCs w:val="24"/>
        </w:rPr>
      </w:pPr>
    </w:p>
    <w:p w14:paraId="0745D5A7" w14:textId="77777777" w:rsidR="001A3C83" w:rsidRDefault="001A3C83" w:rsidP="00E77F98">
      <w:pPr>
        <w:tabs>
          <w:tab w:val="left" w:pos="284"/>
        </w:tabs>
        <w:spacing w:before="40" w:after="40" w:line="360" w:lineRule="auto"/>
        <w:ind w:left="993" w:hanging="993"/>
        <w:jc w:val="both"/>
        <w:rPr>
          <w:rFonts w:ascii="Times New Roman" w:hAnsi="Times New Roman" w:cs="Times New Roman"/>
          <w:iCs/>
          <w:sz w:val="24"/>
          <w:szCs w:val="24"/>
        </w:rPr>
      </w:pPr>
    </w:p>
    <w:p w14:paraId="432CECF2" w14:textId="77777777" w:rsidR="001A3C83" w:rsidRDefault="001A3C83" w:rsidP="00E77F98">
      <w:pPr>
        <w:tabs>
          <w:tab w:val="left" w:pos="284"/>
        </w:tabs>
        <w:spacing w:before="40" w:after="40" w:line="360" w:lineRule="auto"/>
        <w:ind w:left="993" w:hanging="993"/>
        <w:jc w:val="both"/>
        <w:rPr>
          <w:rFonts w:ascii="Times New Roman" w:hAnsi="Times New Roman" w:cs="Times New Roman"/>
          <w:iCs/>
          <w:sz w:val="24"/>
          <w:szCs w:val="24"/>
        </w:rPr>
      </w:pPr>
    </w:p>
    <w:p w14:paraId="43632C31" w14:textId="77777777" w:rsidR="001A3C83" w:rsidRDefault="001A3C83" w:rsidP="00E77F98">
      <w:pPr>
        <w:tabs>
          <w:tab w:val="left" w:pos="284"/>
        </w:tabs>
        <w:spacing w:before="40" w:after="40" w:line="360" w:lineRule="auto"/>
        <w:ind w:left="993" w:hanging="993"/>
        <w:jc w:val="both"/>
        <w:rPr>
          <w:rFonts w:ascii="Times New Roman" w:hAnsi="Times New Roman" w:cs="Times New Roman"/>
          <w:iCs/>
          <w:sz w:val="24"/>
          <w:szCs w:val="24"/>
        </w:rPr>
      </w:pPr>
    </w:p>
    <w:p w14:paraId="62493EB6" w14:textId="77777777" w:rsidR="001A3C83" w:rsidRDefault="001A3C83" w:rsidP="00E77F98">
      <w:pPr>
        <w:tabs>
          <w:tab w:val="left" w:pos="284"/>
        </w:tabs>
        <w:spacing w:before="40" w:after="40" w:line="360" w:lineRule="auto"/>
        <w:ind w:left="993" w:hanging="993"/>
        <w:jc w:val="both"/>
        <w:rPr>
          <w:rFonts w:ascii="Times New Roman" w:hAnsi="Times New Roman" w:cs="Times New Roman"/>
          <w:iCs/>
          <w:sz w:val="24"/>
          <w:szCs w:val="24"/>
        </w:rPr>
      </w:pPr>
    </w:p>
    <w:p w14:paraId="6D5E9CE8" w14:textId="77777777" w:rsidR="001A3C83" w:rsidRDefault="001A3C83" w:rsidP="00E77F98">
      <w:pPr>
        <w:tabs>
          <w:tab w:val="left" w:pos="284"/>
        </w:tabs>
        <w:spacing w:before="40" w:after="40" w:line="360" w:lineRule="auto"/>
        <w:ind w:left="993" w:hanging="993"/>
        <w:jc w:val="both"/>
        <w:rPr>
          <w:rFonts w:ascii="Times New Roman" w:hAnsi="Times New Roman" w:cs="Times New Roman"/>
          <w:iCs/>
          <w:sz w:val="24"/>
          <w:szCs w:val="24"/>
        </w:rPr>
      </w:pPr>
    </w:p>
    <w:p w14:paraId="2D260C51" w14:textId="77777777" w:rsidR="001A3C83" w:rsidRDefault="001A3C83" w:rsidP="00E77F98">
      <w:pPr>
        <w:tabs>
          <w:tab w:val="left" w:pos="284"/>
        </w:tabs>
        <w:spacing w:before="40" w:after="40" w:line="360" w:lineRule="auto"/>
        <w:ind w:left="993" w:hanging="993"/>
        <w:jc w:val="both"/>
        <w:rPr>
          <w:rFonts w:ascii="Times New Roman" w:hAnsi="Times New Roman" w:cs="Times New Roman"/>
          <w:iCs/>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85"/>
        <w:gridCol w:w="5075"/>
      </w:tblGrid>
      <w:tr w:rsidR="001A3C83" w:rsidRPr="001A3C83" w14:paraId="3D9255A0" w14:textId="77777777" w:rsidTr="001A3C83">
        <w:trPr>
          <w:jc w:val="center"/>
        </w:trPr>
        <w:tc>
          <w:tcPr>
            <w:tcW w:w="4285" w:type="dxa"/>
            <w:tcMar>
              <w:top w:w="100" w:type="dxa"/>
              <w:left w:w="100" w:type="dxa"/>
              <w:bottom w:w="100" w:type="dxa"/>
              <w:right w:w="100" w:type="dxa"/>
            </w:tcMar>
          </w:tcPr>
          <w:p w14:paraId="17D2148E" w14:textId="77C66DA9" w:rsidR="001A3C83" w:rsidRPr="001A3C83" w:rsidRDefault="001A3C83" w:rsidP="00E67F9A">
            <w:pPr>
              <w:pStyle w:val="Ttulo3"/>
              <w:widowControl w:val="0"/>
              <w:spacing w:before="0"/>
              <w:rPr>
                <w:b w:val="0"/>
                <w:bCs w:val="0"/>
                <w:sz w:val="24"/>
                <w:szCs w:val="24"/>
              </w:rPr>
            </w:pPr>
            <w:bookmarkStart w:id="4" w:name="_bkwyjpjjzcq0" w:colFirst="0" w:colLast="0"/>
            <w:bookmarkEnd w:id="4"/>
            <w:r w:rsidRPr="001A3C83">
              <w:rPr>
                <w:b w:val="0"/>
                <w:bCs w:val="0"/>
                <w:sz w:val="24"/>
                <w:szCs w:val="24"/>
              </w:rPr>
              <w:lastRenderedPageBreak/>
              <w:t>Rol de Contribución</w:t>
            </w:r>
          </w:p>
        </w:tc>
        <w:tc>
          <w:tcPr>
            <w:tcW w:w="5075" w:type="dxa"/>
            <w:tcMar>
              <w:top w:w="100" w:type="dxa"/>
              <w:left w:w="100" w:type="dxa"/>
              <w:bottom w:w="100" w:type="dxa"/>
              <w:right w:w="100" w:type="dxa"/>
            </w:tcMar>
          </w:tcPr>
          <w:p w14:paraId="716B546A" w14:textId="191E1E6B" w:rsidR="001A3C83" w:rsidRPr="001A3C83" w:rsidRDefault="001A3C83" w:rsidP="00E67F9A">
            <w:pPr>
              <w:pStyle w:val="Ttulo3"/>
              <w:widowControl w:val="0"/>
              <w:spacing w:before="0"/>
              <w:rPr>
                <w:b w:val="0"/>
                <w:bCs w:val="0"/>
                <w:sz w:val="24"/>
                <w:szCs w:val="24"/>
              </w:rPr>
            </w:pPr>
            <w:bookmarkStart w:id="5" w:name="_btsjgdfgjwkr" w:colFirst="0" w:colLast="0"/>
            <w:bookmarkEnd w:id="5"/>
            <w:r>
              <w:rPr>
                <w:b w:val="0"/>
                <w:bCs w:val="0"/>
                <w:sz w:val="24"/>
                <w:szCs w:val="24"/>
              </w:rPr>
              <w:t>Autor (es)</w:t>
            </w:r>
          </w:p>
        </w:tc>
      </w:tr>
      <w:tr w:rsidR="001A3C83" w:rsidRPr="001A3C83" w14:paraId="189868D1" w14:textId="77777777" w:rsidTr="001A3C83">
        <w:trPr>
          <w:jc w:val="center"/>
        </w:trPr>
        <w:tc>
          <w:tcPr>
            <w:tcW w:w="4285" w:type="dxa"/>
            <w:tcMar>
              <w:top w:w="100" w:type="dxa"/>
              <w:left w:w="100" w:type="dxa"/>
              <w:bottom w:w="100" w:type="dxa"/>
              <w:right w:w="100" w:type="dxa"/>
            </w:tcMar>
          </w:tcPr>
          <w:p w14:paraId="31EBC35A"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 xml:space="preserve">Conceptualización </w:t>
            </w:r>
          </w:p>
        </w:tc>
        <w:tc>
          <w:tcPr>
            <w:tcW w:w="5075" w:type="dxa"/>
            <w:tcMar>
              <w:top w:w="100" w:type="dxa"/>
              <w:left w:w="100" w:type="dxa"/>
              <w:bottom w:w="100" w:type="dxa"/>
              <w:right w:w="100" w:type="dxa"/>
            </w:tcMar>
          </w:tcPr>
          <w:p w14:paraId="3CB22093"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ALFREDO HDEZ. Y JORGE ZARUR (IGUAL).</w:t>
            </w:r>
          </w:p>
        </w:tc>
      </w:tr>
      <w:tr w:rsidR="001A3C83" w:rsidRPr="001A3C83" w14:paraId="310C0FB6" w14:textId="77777777" w:rsidTr="001A3C83">
        <w:trPr>
          <w:jc w:val="center"/>
        </w:trPr>
        <w:tc>
          <w:tcPr>
            <w:tcW w:w="4285" w:type="dxa"/>
            <w:tcMar>
              <w:top w:w="100" w:type="dxa"/>
              <w:left w:w="100" w:type="dxa"/>
              <w:bottom w:w="100" w:type="dxa"/>
              <w:right w:w="100" w:type="dxa"/>
            </w:tcMar>
          </w:tcPr>
          <w:p w14:paraId="29F9E35B"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Metodología</w:t>
            </w:r>
          </w:p>
        </w:tc>
        <w:tc>
          <w:tcPr>
            <w:tcW w:w="5075" w:type="dxa"/>
            <w:tcMar>
              <w:top w:w="100" w:type="dxa"/>
              <w:left w:w="100" w:type="dxa"/>
              <w:bottom w:w="100" w:type="dxa"/>
              <w:right w:w="100" w:type="dxa"/>
            </w:tcMar>
          </w:tcPr>
          <w:p w14:paraId="7293F432"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ALFREDO HDEZ. Y JORGE ZARUR (IGUAL).</w:t>
            </w:r>
          </w:p>
        </w:tc>
      </w:tr>
      <w:tr w:rsidR="001A3C83" w:rsidRPr="001A3C83" w14:paraId="291028BB" w14:textId="77777777" w:rsidTr="001A3C83">
        <w:trPr>
          <w:jc w:val="center"/>
        </w:trPr>
        <w:tc>
          <w:tcPr>
            <w:tcW w:w="4285" w:type="dxa"/>
            <w:tcMar>
              <w:top w:w="100" w:type="dxa"/>
              <w:left w:w="100" w:type="dxa"/>
              <w:bottom w:w="100" w:type="dxa"/>
              <w:right w:w="100" w:type="dxa"/>
            </w:tcMar>
          </w:tcPr>
          <w:p w14:paraId="36C3822C"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Software</w:t>
            </w:r>
          </w:p>
        </w:tc>
        <w:tc>
          <w:tcPr>
            <w:tcW w:w="5075" w:type="dxa"/>
            <w:tcMar>
              <w:top w:w="100" w:type="dxa"/>
              <w:left w:w="100" w:type="dxa"/>
              <w:bottom w:w="100" w:type="dxa"/>
              <w:right w:w="100" w:type="dxa"/>
            </w:tcMar>
          </w:tcPr>
          <w:p w14:paraId="0565AFA6"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NA</w:t>
            </w:r>
          </w:p>
        </w:tc>
      </w:tr>
      <w:tr w:rsidR="001A3C83" w:rsidRPr="001A3C83" w14:paraId="6E6262DA" w14:textId="77777777" w:rsidTr="001A3C83">
        <w:trPr>
          <w:jc w:val="center"/>
        </w:trPr>
        <w:tc>
          <w:tcPr>
            <w:tcW w:w="4285" w:type="dxa"/>
            <w:tcMar>
              <w:top w:w="100" w:type="dxa"/>
              <w:left w:w="100" w:type="dxa"/>
              <w:bottom w:w="100" w:type="dxa"/>
              <w:right w:w="100" w:type="dxa"/>
            </w:tcMar>
          </w:tcPr>
          <w:p w14:paraId="6BF754F7"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Validación</w:t>
            </w:r>
          </w:p>
        </w:tc>
        <w:tc>
          <w:tcPr>
            <w:tcW w:w="5075" w:type="dxa"/>
            <w:tcMar>
              <w:top w:w="100" w:type="dxa"/>
              <w:left w:w="100" w:type="dxa"/>
              <w:bottom w:w="100" w:type="dxa"/>
              <w:right w:w="100" w:type="dxa"/>
            </w:tcMar>
          </w:tcPr>
          <w:p w14:paraId="0A836911"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NA</w:t>
            </w:r>
          </w:p>
        </w:tc>
      </w:tr>
      <w:tr w:rsidR="001A3C83" w:rsidRPr="001A3C83" w14:paraId="573EE5BC" w14:textId="77777777" w:rsidTr="001A3C83">
        <w:trPr>
          <w:jc w:val="center"/>
        </w:trPr>
        <w:tc>
          <w:tcPr>
            <w:tcW w:w="4285" w:type="dxa"/>
            <w:tcMar>
              <w:top w:w="100" w:type="dxa"/>
              <w:left w:w="100" w:type="dxa"/>
              <w:bottom w:w="100" w:type="dxa"/>
              <w:right w:w="100" w:type="dxa"/>
            </w:tcMar>
          </w:tcPr>
          <w:p w14:paraId="4F772F71"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Análisis Formal</w:t>
            </w:r>
          </w:p>
        </w:tc>
        <w:tc>
          <w:tcPr>
            <w:tcW w:w="5075" w:type="dxa"/>
            <w:tcMar>
              <w:top w:w="100" w:type="dxa"/>
              <w:left w:w="100" w:type="dxa"/>
              <w:bottom w:w="100" w:type="dxa"/>
              <w:right w:w="100" w:type="dxa"/>
            </w:tcMar>
          </w:tcPr>
          <w:p w14:paraId="2A63F1C5"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NA</w:t>
            </w:r>
          </w:p>
        </w:tc>
      </w:tr>
      <w:tr w:rsidR="001A3C83" w:rsidRPr="001A3C83" w14:paraId="47493796" w14:textId="77777777" w:rsidTr="001A3C83">
        <w:trPr>
          <w:jc w:val="center"/>
        </w:trPr>
        <w:tc>
          <w:tcPr>
            <w:tcW w:w="4285" w:type="dxa"/>
            <w:tcMar>
              <w:top w:w="100" w:type="dxa"/>
              <w:left w:w="100" w:type="dxa"/>
              <w:bottom w:w="100" w:type="dxa"/>
              <w:right w:w="100" w:type="dxa"/>
            </w:tcMar>
          </w:tcPr>
          <w:p w14:paraId="23004EF7"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 xml:space="preserve">Investigación </w:t>
            </w:r>
          </w:p>
        </w:tc>
        <w:tc>
          <w:tcPr>
            <w:tcW w:w="5075" w:type="dxa"/>
            <w:tcMar>
              <w:top w:w="100" w:type="dxa"/>
              <w:left w:w="100" w:type="dxa"/>
              <w:bottom w:w="100" w:type="dxa"/>
              <w:right w:w="100" w:type="dxa"/>
            </w:tcMar>
          </w:tcPr>
          <w:p w14:paraId="5DE22242"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ALFREDO HDEZ. Y JORGE ZARUR (IGUAL).</w:t>
            </w:r>
          </w:p>
        </w:tc>
      </w:tr>
      <w:tr w:rsidR="001A3C83" w:rsidRPr="001A3C83" w14:paraId="38DDD0A8" w14:textId="77777777" w:rsidTr="001A3C83">
        <w:trPr>
          <w:jc w:val="center"/>
        </w:trPr>
        <w:tc>
          <w:tcPr>
            <w:tcW w:w="4285" w:type="dxa"/>
            <w:tcMar>
              <w:top w:w="100" w:type="dxa"/>
              <w:left w:w="100" w:type="dxa"/>
              <w:bottom w:w="100" w:type="dxa"/>
              <w:right w:w="100" w:type="dxa"/>
            </w:tcMar>
          </w:tcPr>
          <w:p w14:paraId="5EE647C3"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Recursos</w:t>
            </w:r>
          </w:p>
        </w:tc>
        <w:tc>
          <w:tcPr>
            <w:tcW w:w="5075" w:type="dxa"/>
            <w:tcMar>
              <w:top w:w="100" w:type="dxa"/>
              <w:left w:w="100" w:type="dxa"/>
              <w:bottom w:w="100" w:type="dxa"/>
              <w:right w:w="100" w:type="dxa"/>
            </w:tcMar>
          </w:tcPr>
          <w:p w14:paraId="435BEE9D"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NA</w:t>
            </w:r>
          </w:p>
        </w:tc>
      </w:tr>
      <w:tr w:rsidR="001A3C83" w:rsidRPr="001A3C83" w14:paraId="4B436D25" w14:textId="77777777" w:rsidTr="001A3C83">
        <w:trPr>
          <w:jc w:val="center"/>
        </w:trPr>
        <w:tc>
          <w:tcPr>
            <w:tcW w:w="4285" w:type="dxa"/>
            <w:tcMar>
              <w:top w:w="100" w:type="dxa"/>
              <w:left w:w="100" w:type="dxa"/>
              <w:bottom w:w="100" w:type="dxa"/>
              <w:right w:w="100" w:type="dxa"/>
            </w:tcMar>
          </w:tcPr>
          <w:p w14:paraId="309A8BC8"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Curación de datos</w:t>
            </w:r>
          </w:p>
        </w:tc>
        <w:tc>
          <w:tcPr>
            <w:tcW w:w="5075" w:type="dxa"/>
            <w:tcMar>
              <w:top w:w="100" w:type="dxa"/>
              <w:left w:w="100" w:type="dxa"/>
              <w:bottom w:w="100" w:type="dxa"/>
              <w:right w:w="100" w:type="dxa"/>
            </w:tcMar>
          </w:tcPr>
          <w:p w14:paraId="33F14DD3"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ALFREDO HDEZ. Y JORGE ZARUR (IGUAL).</w:t>
            </w:r>
          </w:p>
        </w:tc>
      </w:tr>
      <w:tr w:rsidR="001A3C83" w:rsidRPr="001A3C83" w14:paraId="32B8B760" w14:textId="77777777" w:rsidTr="001A3C83">
        <w:trPr>
          <w:jc w:val="center"/>
        </w:trPr>
        <w:tc>
          <w:tcPr>
            <w:tcW w:w="4285" w:type="dxa"/>
            <w:tcMar>
              <w:top w:w="100" w:type="dxa"/>
              <w:left w:w="100" w:type="dxa"/>
              <w:bottom w:w="100" w:type="dxa"/>
              <w:right w:w="100" w:type="dxa"/>
            </w:tcMar>
          </w:tcPr>
          <w:p w14:paraId="74BF07F1"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Escritura - Preparación del borrador original</w:t>
            </w:r>
          </w:p>
        </w:tc>
        <w:tc>
          <w:tcPr>
            <w:tcW w:w="5075" w:type="dxa"/>
            <w:tcMar>
              <w:top w:w="100" w:type="dxa"/>
              <w:left w:w="100" w:type="dxa"/>
              <w:bottom w:w="100" w:type="dxa"/>
              <w:right w:w="100" w:type="dxa"/>
            </w:tcMar>
          </w:tcPr>
          <w:p w14:paraId="5FA0B125"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ALFREDO HDEZ. (PRINCIPAL). JORGE ZARUR (APOYA).</w:t>
            </w:r>
          </w:p>
        </w:tc>
      </w:tr>
      <w:tr w:rsidR="001A3C83" w:rsidRPr="001A3C83" w14:paraId="50AE44DE" w14:textId="77777777" w:rsidTr="001A3C83">
        <w:trPr>
          <w:jc w:val="center"/>
        </w:trPr>
        <w:tc>
          <w:tcPr>
            <w:tcW w:w="4285" w:type="dxa"/>
            <w:tcMar>
              <w:top w:w="100" w:type="dxa"/>
              <w:left w:w="100" w:type="dxa"/>
              <w:bottom w:w="100" w:type="dxa"/>
              <w:right w:w="100" w:type="dxa"/>
            </w:tcMar>
          </w:tcPr>
          <w:p w14:paraId="735FBD08"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Escritura - Revisión y edición</w:t>
            </w:r>
          </w:p>
        </w:tc>
        <w:tc>
          <w:tcPr>
            <w:tcW w:w="5075" w:type="dxa"/>
            <w:tcMar>
              <w:top w:w="100" w:type="dxa"/>
              <w:left w:w="100" w:type="dxa"/>
              <w:bottom w:w="100" w:type="dxa"/>
              <w:right w:w="100" w:type="dxa"/>
            </w:tcMar>
          </w:tcPr>
          <w:p w14:paraId="3AE3CFF9"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ALFREDO HDEZ. Y JORGE ZARUR (IGUAL).</w:t>
            </w:r>
          </w:p>
        </w:tc>
      </w:tr>
      <w:tr w:rsidR="001A3C83" w:rsidRPr="001A3C83" w14:paraId="64EE4BFB" w14:textId="77777777" w:rsidTr="001A3C83">
        <w:trPr>
          <w:jc w:val="center"/>
        </w:trPr>
        <w:tc>
          <w:tcPr>
            <w:tcW w:w="4285" w:type="dxa"/>
            <w:tcMar>
              <w:top w:w="100" w:type="dxa"/>
              <w:left w:w="100" w:type="dxa"/>
              <w:bottom w:w="100" w:type="dxa"/>
              <w:right w:w="100" w:type="dxa"/>
            </w:tcMar>
          </w:tcPr>
          <w:p w14:paraId="4894E871"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 xml:space="preserve">Visualización </w:t>
            </w:r>
          </w:p>
        </w:tc>
        <w:tc>
          <w:tcPr>
            <w:tcW w:w="5075" w:type="dxa"/>
            <w:tcMar>
              <w:top w:w="100" w:type="dxa"/>
              <w:left w:w="100" w:type="dxa"/>
              <w:bottom w:w="100" w:type="dxa"/>
              <w:right w:w="100" w:type="dxa"/>
            </w:tcMar>
          </w:tcPr>
          <w:p w14:paraId="13A61131"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ALFREDO HDEZ. (PRINCIPAL). JORGE ZARUR (APOYA).</w:t>
            </w:r>
          </w:p>
        </w:tc>
      </w:tr>
      <w:tr w:rsidR="001A3C83" w:rsidRPr="001A3C83" w14:paraId="04B73252" w14:textId="77777777" w:rsidTr="001A3C83">
        <w:trPr>
          <w:jc w:val="center"/>
        </w:trPr>
        <w:tc>
          <w:tcPr>
            <w:tcW w:w="4285" w:type="dxa"/>
            <w:tcMar>
              <w:top w:w="100" w:type="dxa"/>
              <w:left w:w="100" w:type="dxa"/>
              <w:bottom w:w="100" w:type="dxa"/>
              <w:right w:w="100" w:type="dxa"/>
            </w:tcMar>
          </w:tcPr>
          <w:p w14:paraId="24E5CB74"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 xml:space="preserve">Supervisión </w:t>
            </w:r>
          </w:p>
        </w:tc>
        <w:tc>
          <w:tcPr>
            <w:tcW w:w="5075" w:type="dxa"/>
            <w:tcMar>
              <w:top w:w="100" w:type="dxa"/>
              <w:left w:w="100" w:type="dxa"/>
              <w:bottom w:w="100" w:type="dxa"/>
              <w:right w:w="100" w:type="dxa"/>
            </w:tcMar>
          </w:tcPr>
          <w:p w14:paraId="1EBAF0DE"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ALFREDO HDEZ. (PRINCIPAL). JORGE ZARUR (APOYA).</w:t>
            </w:r>
          </w:p>
        </w:tc>
      </w:tr>
      <w:tr w:rsidR="001A3C83" w:rsidRPr="001A3C83" w14:paraId="58049FCD" w14:textId="77777777" w:rsidTr="001A3C83">
        <w:trPr>
          <w:jc w:val="center"/>
        </w:trPr>
        <w:tc>
          <w:tcPr>
            <w:tcW w:w="4285" w:type="dxa"/>
            <w:tcMar>
              <w:top w:w="100" w:type="dxa"/>
              <w:left w:w="100" w:type="dxa"/>
              <w:bottom w:w="100" w:type="dxa"/>
              <w:right w:w="100" w:type="dxa"/>
            </w:tcMar>
          </w:tcPr>
          <w:p w14:paraId="031213B6"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Administración de Proyectos</w:t>
            </w:r>
          </w:p>
        </w:tc>
        <w:tc>
          <w:tcPr>
            <w:tcW w:w="5075" w:type="dxa"/>
            <w:tcMar>
              <w:top w:w="100" w:type="dxa"/>
              <w:left w:w="100" w:type="dxa"/>
              <w:bottom w:w="100" w:type="dxa"/>
              <w:right w:w="100" w:type="dxa"/>
            </w:tcMar>
          </w:tcPr>
          <w:p w14:paraId="678AEF20"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ALFREDO HDEZ. (PRINCIPAL). JORGE ZARUR (APOYA).</w:t>
            </w:r>
          </w:p>
        </w:tc>
      </w:tr>
      <w:tr w:rsidR="001A3C83" w:rsidRPr="001A3C83" w14:paraId="6C6704CF" w14:textId="77777777" w:rsidTr="001A3C83">
        <w:trPr>
          <w:jc w:val="center"/>
        </w:trPr>
        <w:tc>
          <w:tcPr>
            <w:tcW w:w="4285" w:type="dxa"/>
            <w:tcMar>
              <w:top w:w="100" w:type="dxa"/>
              <w:left w:w="100" w:type="dxa"/>
              <w:bottom w:w="100" w:type="dxa"/>
              <w:right w:w="100" w:type="dxa"/>
            </w:tcMar>
          </w:tcPr>
          <w:p w14:paraId="44737202"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Adquisición de fondos</w:t>
            </w:r>
          </w:p>
        </w:tc>
        <w:tc>
          <w:tcPr>
            <w:tcW w:w="5075" w:type="dxa"/>
            <w:tcMar>
              <w:top w:w="100" w:type="dxa"/>
              <w:left w:w="100" w:type="dxa"/>
              <w:bottom w:w="100" w:type="dxa"/>
              <w:right w:w="100" w:type="dxa"/>
            </w:tcMar>
          </w:tcPr>
          <w:p w14:paraId="1BE99E34"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ALFREDO HDEZ. Y JORGE ZARUR (IGUAL).</w:t>
            </w:r>
          </w:p>
        </w:tc>
      </w:tr>
    </w:tbl>
    <w:p w14:paraId="2609FC29" w14:textId="77777777" w:rsidR="001A3C83" w:rsidRPr="003E7A82" w:rsidRDefault="001A3C83" w:rsidP="00E77F98">
      <w:pPr>
        <w:tabs>
          <w:tab w:val="left" w:pos="284"/>
        </w:tabs>
        <w:spacing w:before="40" w:after="40" w:line="360" w:lineRule="auto"/>
        <w:ind w:left="993" w:hanging="993"/>
        <w:jc w:val="both"/>
        <w:rPr>
          <w:rFonts w:ascii="Times New Roman" w:hAnsi="Times New Roman" w:cs="Times New Roman"/>
          <w:iCs/>
          <w:sz w:val="24"/>
          <w:szCs w:val="24"/>
        </w:rPr>
      </w:pPr>
    </w:p>
    <w:sectPr w:rsidR="001A3C83" w:rsidRPr="003E7A82" w:rsidSect="00E77F98">
      <w:headerReference w:type="default" r:id="rId36"/>
      <w:footerReference w:type="default" r:id="rId37"/>
      <w:pgSz w:w="12240" w:h="15840"/>
      <w:pgMar w:top="1135" w:right="1608" w:bottom="568" w:left="1701"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B734C" w14:textId="77777777" w:rsidR="00887FD9" w:rsidRDefault="00887FD9" w:rsidP="00551269">
      <w:pPr>
        <w:spacing w:after="0" w:line="240" w:lineRule="auto"/>
      </w:pPr>
      <w:r>
        <w:separator/>
      </w:r>
    </w:p>
  </w:endnote>
  <w:endnote w:type="continuationSeparator" w:id="0">
    <w:p w14:paraId="2AF2F16A" w14:textId="77777777" w:rsidR="00887FD9" w:rsidRDefault="00887FD9" w:rsidP="00551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028CC" w14:textId="56C4F3D3" w:rsidR="00E77F98" w:rsidRDefault="00E77F98" w:rsidP="00E77F98">
    <w:pPr>
      <w:pStyle w:val="Piedepgina"/>
      <w:jc w:val="center"/>
    </w:pPr>
    <w:r w:rsidRPr="00B21D7C">
      <w:rPr>
        <w:rFonts w:cstheme="minorHAnsi"/>
        <w:b/>
        <w:bCs/>
        <w:szCs w:val="16"/>
      </w:rPr>
      <w:t xml:space="preserve">Vol. </w:t>
    </w:r>
    <w:proofErr w:type="gramStart"/>
    <w:r>
      <w:rPr>
        <w:rFonts w:cstheme="minorHAnsi"/>
        <w:b/>
        <w:bCs/>
        <w:szCs w:val="16"/>
      </w:rPr>
      <w:t>11</w:t>
    </w:r>
    <w:r w:rsidRPr="00B21D7C">
      <w:rPr>
        <w:rFonts w:cstheme="minorHAnsi"/>
        <w:b/>
        <w:bCs/>
        <w:szCs w:val="16"/>
      </w:rPr>
      <w:t xml:space="preserve">  Núm.</w:t>
    </w:r>
    <w:proofErr w:type="gramEnd"/>
    <w:r w:rsidRPr="00B21D7C">
      <w:rPr>
        <w:rFonts w:cstheme="minorHAnsi"/>
        <w:b/>
        <w:bCs/>
        <w:szCs w:val="16"/>
      </w:rPr>
      <w:t xml:space="preserve"> </w:t>
    </w:r>
    <w:r>
      <w:rPr>
        <w:rFonts w:cstheme="minorHAnsi"/>
        <w:b/>
        <w:bCs/>
        <w:szCs w:val="16"/>
      </w:rPr>
      <w:t>22</w:t>
    </w:r>
    <w:r w:rsidRPr="00B21D7C">
      <w:rPr>
        <w:rFonts w:cstheme="minorHAnsi"/>
        <w:b/>
        <w:bCs/>
        <w:szCs w:val="16"/>
      </w:rPr>
      <w:t xml:space="preserve">                   </w:t>
    </w:r>
    <w:r>
      <w:rPr>
        <w:rFonts w:cstheme="minorHAnsi"/>
        <w:b/>
        <w:bCs/>
        <w:szCs w:val="16"/>
      </w:rPr>
      <w:t xml:space="preserve">Julio - </w:t>
    </w:r>
    <w:proofErr w:type="gramStart"/>
    <w:r>
      <w:rPr>
        <w:rFonts w:cstheme="minorHAnsi"/>
        <w:b/>
        <w:bCs/>
        <w:szCs w:val="16"/>
      </w:rPr>
      <w:t>Diciembre</w:t>
    </w:r>
    <w:proofErr w:type="gramEnd"/>
    <w:r w:rsidRPr="00B21D7C">
      <w:rPr>
        <w:rFonts w:cstheme="minorHAnsi"/>
        <w:b/>
        <w:bCs/>
        <w:szCs w:val="16"/>
      </w:rPr>
      <w:t xml:space="preserve"> 202</w:t>
    </w:r>
    <w:r>
      <w:rPr>
        <w:rFonts w:cstheme="minorHAnsi"/>
        <w:b/>
        <w:bCs/>
        <w:szCs w:val="16"/>
      </w:rPr>
      <w:t>4</w:t>
    </w:r>
    <w:r w:rsidRPr="00B21D7C">
      <w:rPr>
        <w:rFonts w:cstheme="minorHAnsi"/>
        <w:b/>
        <w:bCs/>
        <w:szCs w:val="16"/>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9EAC8" w14:textId="77777777" w:rsidR="00887FD9" w:rsidRDefault="00887FD9" w:rsidP="00551269">
      <w:pPr>
        <w:spacing w:after="0" w:line="240" w:lineRule="auto"/>
      </w:pPr>
      <w:r>
        <w:separator/>
      </w:r>
    </w:p>
  </w:footnote>
  <w:footnote w:type="continuationSeparator" w:id="0">
    <w:p w14:paraId="3485A4E8" w14:textId="77777777" w:rsidR="00887FD9" w:rsidRDefault="00887FD9" w:rsidP="00551269">
      <w:pPr>
        <w:spacing w:after="0" w:line="240" w:lineRule="auto"/>
      </w:pPr>
      <w:r>
        <w:continuationSeparator/>
      </w:r>
    </w:p>
  </w:footnote>
  <w:footnote w:id="1">
    <w:p w14:paraId="53A02DAB" w14:textId="59008E9C" w:rsidR="00423BF0" w:rsidRPr="00125B8B" w:rsidRDefault="00423BF0" w:rsidP="00E77F98">
      <w:pPr>
        <w:pStyle w:val="Prrafodelista"/>
        <w:spacing w:after="120" w:line="240" w:lineRule="auto"/>
        <w:ind w:left="0"/>
        <w:jc w:val="both"/>
        <w:rPr>
          <w:rFonts w:ascii="Times New Roman" w:hAnsi="Times New Roman" w:cs="Times New Roman"/>
          <w:sz w:val="16"/>
          <w:szCs w:val="16"/>
        </w:rPr>
      </w:pPr>
      <w:r>
        <w:rPr>
          <w:rStyle w:val="Refdenotaalpie"/>
        </w:rPr>
        <w:footnoteRef/>
      </w:r>
      <w:r>
        <w:t xml:space="preserve"> </w:t>
      </w:r>
      <w:r w:rsidRPr="002B2AF8">
        <w:rPr>
          <w:rFonts w:ascii="Times New Roman" w:hAnsi="Times New Roman" w:cs="Times New Roman"/>
          <w:sz w:val="16"/>
          <w:szCs w:val="16"/>
        </w:rPr>
        <w:t xml:space="preserve">InfoFinland </w:t>
      </w:r>
      <w:r>
        <w:rPr>
          <w:rFonts w:ascii="Times New Roman" w:hAnsi="Times New Roman" w:cs="Times New Roman"/>
          <w:sz w:val="16"/>
          <w:szCs w:val="16"/>
        </w:rPr>
        <w:t xml:space="preserve">(2023) </w:t>
      </w:r>
      <w:r w:rsidRPr="002B2AF8">
        <w:rPr>
          <w:rFonts w:ascii="Times New Roman" w:hAnsi="Times New Roman" w:cs="Times New Roman"/>
          <w:sz w:val="16"/>
          <w:szCs w:val="16"/>
        </w:rPr>
        <w:t xml:space="preserve">es un portal de Internet en varios idiomas que ofrece información fiable para quienes planean trasladarse a Finlandia </w:t>
      </w:r>
      <w:r>
        <w:rPr>
          <w:rFonts w:ascii="Times New Roman" w:hAnsi="Times New Roman" w:cs="Times New Roman"/>
          <w:sz w:val="16"/>
          <w:szCs w:val="16"/>
        </w:rPr>
        <w:t>para trabajar o estudiar;</w:t>
      </w:r>
      <w:r w:rsidRPr="002B2AF8">
        <w:rPr>
          <w:rFonts w:ascii="Times New Roman" w:hAnsi="Times New Roman" w:cs="Times New Roman"/>
          <w:sz w:val="16"/>
          <w:szCs w:val="16"/>
        </w:rPr>
        <w:t xml:space="preserve"> se elabora en colaboración con las autoridades, y </w:t>
      </w:r>
      <w:r>
        <w:rPr>
          <w:rFonts w:ascii="Times New Roman" w:hAnsi="Times New Roman" w:cs="Times New Roman"/>
          <w:sz w:val="16"/>
          <w:szCs w:val="16"/>
        </w:rPr>
        <w:t>s</w:t>
      </w:r>
      <w:r w:rsidRPr="002B2AF8">
        <w:rPr>
          <w:rFonts w:ascii="Times New Roman" w:hAnsi="Times New Roman" w:cs="Times New Roman"/>
          <w:sz w:val="16"/>
          <w:szCs w:val="16"/>
        </w:rPr>
        <w:t>e actualiza constantemente.</w:t>
      </w:r>
      <w:r>
        <w:rPr>
          <w:rFonts w:ascii="Times New Roman" w:hAnsi="Times New Roman" w:cs="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417707"/>
      <w:docPartObj>
        <w:docPartGallery w:val="Page Numbers (Top of Page)"/>
        <w:docPartUnique/>
      </w:docPartObj>
    </w:sdtPr>
    <w:sdtContent>
      <w:p w14:paraId="0ACA27FA" w14:textId="11584577" w:rsidR="00423BF0" w:rsidRDefault="00E77F98" w:rsidP="00E77F98">
        <w:pPr>
          <w:pStyle w:val="Encabezado"/>
          <w:jc w:val="center"/>
        </w:pPr>
        <w:r>
          <w:rPr>
            <w:noProof/>
            <w:lang w:eastAsia="es-MX"/>
          </w:rPr>
          <w:drawing>
            <wp:inline distT="0" distB="0" distL="0" distR="0" wp14:anchorId="026D9E81" wp14:editId="42667E26">
              <wp:extent cx="5612130" cy="608330"/>
              <wp:effectExtent l="0" t="0" r="7620" b="1270"/>
              <wp:docPr id="297834232" name="Imagen 297834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01E3"/>
    <w:multiLevelType w:val="hybridMultilevel"/>
    <w:tmpl w:val="F182B448"/>
    <w:lvl w:ilvl="0" w:tplc="8288FB48">
      <w:start w:val="1"/>
      <w:numFmt w:val="decimal"/>
      <w:lvlText w:val="%1."/>
      <w:lvlJc w:val="left"/>
      <w:pPr>
        <w:ind w:left="1080" w:hanging="72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71338B"/>
    <w:multiLevelType w:val="hybridMultilevel"/>
    <w:tmpl w:val="5072B47E"/>
    <w:lvl w:ilvl="0" w:tplc="6F744A4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2F5F01"/>
    <w:multiLevelType w:val="hybridMultilevel"/>
    <w:tmpl w:val="C3C26D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A01648"/>
    <w:multiLevelType w:val="hybridMultilevel"/>
    <w:tmpl w:val="1974C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A564E3"/>
    <w:multiLevelType w:val="hybridMultilevel"/>
    <w:tmpl w:val="ECEA50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C36A0B"/>
    <w:multiLevelType w:val="hybridMultilevel"/>
    <w:tmpl w:val="FC46B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57D0E8A"/>
    <w:multiLevelType w:val="hybridMultilevel"/>
    <w:tmpl w:val="F71444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940526"/>
    <w:multiLevelType w:val="hybridMultilevel"/>
    <w:tmpl w:val="80DA8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6A4226D"/>
    <w:multiLevelType w:val="hybridMultilevel"/>
    <w:tmpl w:val="F5DEDE2A"/>
    <w:lvl w:ilvl="0" w:tplc="6F744A4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815368C"/>
    <w:multiLevelType w:val="multilevel"/>
    <w:tmpl w:val="B3E2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213C01"/>
    <w:multiLevelType w:val="hybridMultilevel"/>
    <w:tmpl w:val="6E482B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C505CFB"/>
    <w:multiLevelType w:val="hybridMultilevel"/>
    <w:tmpl w:val="2F40284E"/>
    <w:lvl w:ilvl="0" w:tplc="080A0001">
      <w:start w:val="1"/>
      <w:numFmt w:val="bullet"/>
      <w:lvlText w:val=""/>
      <w:lvlJc w:val="left"/>
      <w:pPr>
        <w:ind w:left="1080" w:hanging="720"/>
      </w:pPr>
      <w:rPr>
        <w:rFonts w:ascii="Symbol" w:hAnsi="Symbol"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ED467E8"/>
    <w:multiLevelType w:val="hybridMultilevel"/>
    <w:tmpl w:val="5C9061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F413E0F"/>
    <w:multiLevelType w:val="hybridMultilevel"/>
    <w:tmpl w:val="ECEA50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565EE1"/>
    <w:multiLevelType w:val="hybridMultilevel"/>
    <w:tmpl w:val="5606B010"/>
    <w:lvl w:ilvl="0" w:tplc="080A0011">
      <w:start w:val="1"/>
      <w:numFmt w:val="decimal"/>
      <w:lvlText w:val="%1)"/>
      <w:lvlJc w:val="left"/>
      <w:pPr>
        <w:ind w:left="644" w:hanging="360"/>
      </w:pPr>
      <w:rPr>
        <w:rFonts w:hint="default"/>
      </w:rPr>
    </w:lvl>
    <w:lvl w:ilvl="1" w:tplc="E222E4B4">
      <w:start w:val="1"/>
      <w:numFmt w:val="lowerLetter"/>
      <w:lvlText w:val="%2)"/>
      <w:lvlJc w:val="left"/>
      <w:pPr>
        <w:ind w:left="1364" w:hanging="360"/>
      </w:pPr>
      <w:rPr>
        <w:rFonts w:hint="default"/>
      </w:r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16cid:durableId="2050184670">
    <w:abstractNumId w:val="12"/>
  </w:num>
  <w:num w:numId="2" w16cid:durableId="1409157348">
    <w:abstractNumId w:val="5"/>
  </w:num>
  <w:num w:numId="3" w16cid:durableId="1043362277">
    <w:abstractNumId w:val="13"/>
  </w:num>
  <w:num w:numId="4" w16cid:durableId="1628004140">
    <w:abstractNumId w:val="4"/>
  </w:num>
  <w:num w:numId="5" w16cid:durableId="574828210">
    <w:abstractNumId w:val="9"/>
  </w:num>
  <w:num w:numId="6" w16cid:durableId="1167790172">
    <w:abstractNumId w:val="6"/>
  </w:num>
  <w:num w:numId="7" w16cid:durableId="38483428">
    <w:abstractNumId w:val="7"/>
  </w:num>
  <w:num w:numId="8" w16cid:durableId="548347432">
    <w:abstractNumId w:val="2"/>
  </w:num>
  <w:num w:numId="9" w16cid:durableId="1446924027">
    <w:abstractNumId w:val="14"/>
  </w:num>
  <w:num w:numId="10" w16cid:durableId="1568492500">
    <w:abstractNumId w:val="10"/>
  </w:num>
  <w:num w:numId="11" w16cid:durableId="393164642">
    <w:abstractNumId w:val="3"/>
  </w:num>
  <w:num w:numId="12" w16cid:durableId="78674017">
    <w:abstractNumId w:val="1"/>
  </w:num>
  <w:num w:numId="13" w16cid:durableId="1219896207">
    <w:abstractNumId w:val="8"/>
  </w:num>
  <w:num w:numId="14" w16cid:durableId="404183109">
    <w:abstractNumId w:val="0"/>
  </w:num>
  <w:num w:numId="15" w16cid:durableId="17478743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371"/>
    <w:rsid w:val="00005246"/>
    <w:rsid w:val="000058B3"/>
    <w:rsid w:val="00007343"/>
    <w:rsid w:val="00007F80"/>
    <w:rsid w:val="0001284B"/>
    <w:rsid w:val="0001597B"/>
    <w:rsid w:val="00016012"/>
    <w:rsid w:val="00016D10"/>
    <w:rsid w:val="00021371"/>
    <w:rsid w:val="0002194A"/>
    <w:rsid w:val="00023953"/>
    <w:rsid w:val="00027720"/>
    <w:rsid w:val="00032E50"/>
    <w:rsid w:val="000335FE"/>
    <w:rsid w:val="00033EA1"/>
    <w:rsid w:val="0003787D"/>
    <w:rsid w:val="0004043C"/>
    <w:rsid w:val="000414DA"/>
    <w:rsid w:val="00042DCD"/>
    <w:rsid w:val="00046441"/>
    <w:rsid w:val="000476BD"/>
    <w:rsid w:val="0005106C"/>
    <w:rsid w:val="0005439A"/>
    <w:rsid w:val="00054664"/>
    <w:rsid w:val="0006090D"/>
    <w:rsid w:val="00060AD9"/>
    <w:rsid w:val="00061680"/>
    <w:rsid w:val="000616CA"/>
    <w:rsid w:val="00061DEA"/>
    <w:rsid w:val="00062B7A"/>
    <w:rsid w:val="00064426"/>
    <w:rsid w:val="00065226"/>
    <w:rsid w:val="00065947"/>
    <w:rsid w:val="00066079"/>
    <w:rsid w:val="000662D4"/>
    <w:rsid w:val="00067B1A"/>
    <w:rsid w:val="00070065"/>
    <w:rsid w:val="0007147A"/>
    <w:rsid w:val="000714DF"/>
    <w:rsid w:val="000730BB"/>
    <w:rsid w:val="000768A6"/>
    <w:rsid w:val="00076A86"/>
    <w:rsid w:val="000776FE"/>
    <w:rsid w:val="00080665"/>
    <w:rsid w:val="00081910"/>
    <w:rsid w:val="00081A3D"/>
    <w:rsid w:val="00084312"/>
    <w:rsid w:val="00084C88"/>
    <w:rsid w:val="00086BF2"/>
    <w:rsid w:val="00090489"/>
    <w:rsid w:val="000906C5"/>
    <w:rsid w:val="00090EFA"/>
    <w:rsid w:val="000926AF"/>
    <w:rsid w:val="00093D4B"/>
    <w:rsid w:val="00094E5B"/>
    <w:rsid w:val="0009528E"/>
    <w:rsid w:val="000969AE"/>
    <w:rsid w:val="000970DE"/>
    <w:rsid w:val="00097260"/>
    <w:rsid w:val="000A07AD"/>
    <w:rsid w:val="000A0D06"/>
    <w:rsid w:val="000A13BE"/>
    <w:rsid w:val="000A1791"/>
    <w:rsid w:val="000A1D18"/>
    <w:rsid w:val="000A3153"/>
    <w:rsid w:val="000A6EE6"/>
    <w:rsid w:val="000B021B"/>
    <w:rsid w:val="000B1961"/>
    <w:rsid w:val="000B2816"/>
    <w:rsid w:val="000B2CB6"/>
    <w:rsid w:val="000B432E"/>
    <w:rsid w:val="000B4BCA"/>
    <w:rsid w:val="000C11FE"/>
    <w:rsid w:val="000C3760"/>
    <w:rsid w:val="000C5764"/>
    <w:rsid w:val="000C6378"/>
    <w:rsid w:val="000D086F"/>
    <w:rsid w:val="000D102B"/>
    <w:rsid w:val="000D39D1"/>
    <w:rsid w:val="000D3B28"/>
    <w:rsid w:val="000D4548"/>
    <w:rsid w:val="000D4F1C"/>
    <w:rsid w:val="000D5D81"/>
    <w:rsid w:val="000D61C7"/>
    <w:rsid w:val="000D6A30"/>
    <w:rsid w:val="000D7EDB"/>
    <w:rsid w:val="000E0B37"/>
    <w:rsid w:val="000E1AE3"/>
    <w:rsid w:val="000E30C6"/>
    <w:rsid w:val="000E34C6"/>
    <w:rsid w:val="000E3B8B"/>
    <w:rsid w:val="000E4545"/>
    <w:rsid w:val="000E7DA2"/>
    <w:rsid w:val="000F13B8"/>
    <w:rsid w:val="000F25D4"/>
    <w:rsid w:val="000F3240"/>
    <w:rsid w:val="000F7472"/>
    <w:rsid w:val="00103748"/>
    <w:rsid w:val="00103BF2"/>
    <w:rsid w:val="001042B5"/>
    <w:rsid w:val="00106D0F"/>
    <w:rsid w:val="0010755C"/>
    <w:rsid w:val="00115BF2"/>
    <w:rsid w:val="00116E82"/>
    <w:rsid w:val="00117A45"/>
    <w:rsid w:val="00123C5D"/>
    <w:rsid w:val="00125B8B"/>
    <w:rsid w:val="00130833"/>
    <w:rsid w:val="001335D1"/>
    <w:rsid w:val="00133A3A"/>
    <w:rsid w:val="001343CD"/>
    <w:rsid w:val="00135AF3"/>
    <w:rsid w:val="00136BD2"/>
    <w:rsid w:val="00137D27"/>
    <w:rsid w:val="001402E6"/>
    <w:rsid w:val="001422AB"/>
    <w:rsid w:val="001451B4"/>
    <w:rsid w:val="00145D93"/>
    <w:rsid w:val="0014660A"/>
    <w:rsid w:val="00147018"/>
    <w:rsid w:val="001477A1"/>
    <w:rsid w:val="00151053"/>
    <w:rsid w:val="00153148"/>
    <w:rsid w:val="00153D10"/>
    <w:rsid w:val="0015492F"/>
    <w:rsid w:val="00155C74"/>
    <w:rsid w:val="001577CA"/>
    <w:rsid w:val="00157AD1"/>
    <w:rsid w:val="00160002"/>
    <w:rsid w:val="00160355"/>
    <w:rsid w:val="00161385"/>
    <w:rsid w:val="001613D3"/>
    <w:rsid w:val="0016185E"/>
    <w:rsid w:val="00162C4E"/>
    <w:rsid w:val="00163182"/>
    <w:rsid w:val="00166A1B"/>
    <w:rsid w:val="00167815"/>
    <w:rsid w:val="00170D3B"/>
    <w:rsid w:val="00172068"/>
    <w:rsid w:val="001722D1"/>
    <w:rsid w:val="00172D43"/>
    <w:rsid w:val="001731BD"/>
    <w:rsid w:val="0017387A"/>
    <w:rsid w:val="00175075"/>
    <w:rsid w:val="00175771"/>
    <w:rsid w:val="00176BD8"/>
    <w:rsid w:val="001776C9"/>
    <w:rsid w:val="00180704"/>
    <w:rsid w:val="001817BF"/>
    <w:rsid w:val="001833B4"/>
    <w:rsid w:val="0018381A"/>
    <w:rsid w:val="00185033"/>
    <w:rsid w:val="001862DB"/>
    <w:rsid w:val="00186910"/>
    <w:rsid w:val="00186FEA"/>
    <w:rsid w:val="00187CD6"/>
    <w:rsid w:val="00196FE1"/>
    <w:rsid w:val="001A0052"/>
    <w:rsid w:val="001A0DE0"/>
    <w:rsid w:val="001A2DA2"/>
    <w:rsid w:val="001A3C83"/>
    <w:rsid w:val="001A609F"/>
    <w:rsid w:val="001B5368"/>
    <w:rsid w:val="001B6DCB"/>
    <w:rsid w:val="001B7629"/>
    <w:rsid w:val="001C0014"/>
    <w:rsid w:val="001C21C7"/>
    <w:rsid w:val="001C30F3"/>
    <w:rsid w:val="001C3EFA"/>
    <w:rsid w:val="001C7ABA"/>
    <w:rsid w:val="001D1BCD"/>
    <w:rsid w:val="001D3509"/>
    <w:rsid w:val="001D3CD8"/>
    <w:rsid w:val="001D605C"/>
    <w:rsid w:val="001D6082"/>
    <w:rsid w:val="001D6829"/>
    <w:rsid w:val="001D7715"/>
    <w:rsid w:val="001E06ED"/>
    <w:rsid w:val="001E09D7"/>
    <w:rsid w:val="001E113D"/>
    <w:rsid w:val="001E2260"/>
    <w:rsid w:val="001E31AD"/>
    <w:rsid w:val="001E35CA"/>
    <w:rsid w:val="001E3A5C"/>
    <w:rsid w:val="001E3FD9"/>
    <w:rsid w:val="001E6DF4"/>
    <w:rsid w:val="001F042F"/>
    <w:rsid w:val="001F0F74"/>
    <w:rsid w:val="001F1FC0"/>
    <w:rsid w:val="001F2ADC"/>
    <w:rsid w:val="001F3CC5"/>
    <w:rsid w:val="001F48B2"/>
    <w:rsid w:val="001F6416"/>
    <w:rsid w:val="001F64EA"/>
    <w:rsid w:val="0020597F"/>
    <w:rsid w:val="00206B48"/>
    <w:rsid w:val="00207F50"/>
    <w:rsid w:val="00210A92"/>
    <w:rsid w:val="00210BD5"/>
    <w:rsid w:val="00212DFC"/>
    <w:rsid w:val="002138B4"/>
    <w:rsid w:val="00213AC8"/>
    <w:rsid w:val="00213D0E"/>
    <w:rsid w:val="0021421A"/>
    <w:rsid w:val="0021575A"/>
    <w:rsid w:val="00215C67"/>
    <w:rsid w:val="00215D34"/>
    <w:rsid w:val="00216A68"/>
    <w:rsid w:val="00216CAC"/>
    <w:rsid w:val="00217849"/>
    <w:rsid w:val="00217C7C"/>
    <w:rsid w:val="0022023D"/>
    <w:rsid w:val="00221CAD"/>
    <w:rsid w:val="002225E9"/>
    <w:rsid w:val="00223857"/>
    <w:rsid w:val="00223A90"/>
    <w:rsid w:val="00223AB9"/>
    <w:rsid w:val="00226730"/>
    <w:rsid w:val="00232787"/>
    <w:rsid w:val="00234456"/>
    <w:rsid w:val="00235131"/>
    <w:rsid w:val="00236F05"/>
    <w:rsid w:val="00237320"/>
    <w:rsid w:val="00237828"/>
    <w:rsid w:val="00237C97"/>
    <w:rsid w:val="00237EBE"/>
    <w:rsid w:val="0024053A"/>
    <w:rsid w:val="002409A0"/>
    <w:rsid w:val="0024169B"/>
    <w:rsid w:val="00243545"/>
    <w:rsid w:val="002474FD"/>
    <w:rsid w:val="00247B15"/>
    <w:rsid w:val="00251A09"/>
    <w:rsid w:val="00256D88"/>
    <w:rsid w:val="002571A1"/>
    <w:rsid w:val="00257D49"/>
    <w:rsid w:val="0026065C"/>
    <w:rsid w:val="00261052"/>
    <w:rsid w:val="00262867"/>
    <w:rsid w:val="00262E85"/>
    <w:rsid w:val="00263B4A"/>
    <w:rsid w:val="00264FA1"/>
    <w:rsid w:val="00273887"/>
    <w:rsid w:val="00275890"/>
    <w:rsid w:val="00276112"/>
    <w:rsid w:val="00276775"/>
    <w:rsid w:val="00277030"/>
    <w:rsid w:val="00277394"/>
    <w:rsid w:val="00277989"/>
    <w:rsid w:val="0028082B"/>
    <w:rsid w:val="00282629"/>
    <w:rsid w:val="00283317"/>
    <w:rsid w:val="002833B3"/>
    <w:rsid w:val="00284678"/>
    <w:rsid w:val="00284C15"/>
    <w:rsid w:val="00284EDE"/>
    <w:rsid w:val="002856A4"/>
    <w:rsid w:val="0028689B"/>
    <w:rsid w:val="002870E6"/>
    <w:rsid w:val="00287515"/>
    <w:rsid w:val="00290063"/>
    <w:rsid w:val="00292B82"/>
    <w:rsid w:val="00293579"/>
    <w:rsid w:val="0029405B"/>
    <w:rsid w:val="0029556E"/>
    <w:rsid w:val="002965F1"/>
    <w:rsid w:val="002966EA"/>
    <w:rsid w:val="002A0574"/>
    <w:rsid w:val="002A07D1"/>
    <w:rsid w:val="002A09F7"/>
    <w:rsid w:val="002A1341"/>
    <w:rsid w:val="002A1B5D"/>
    <w:rsid w:val="002A4D5F"/>
    <w:rsid w:val="002A690B"/>
    <w:rsid w:val="002B17F3"/>
    <w:rsid w:val="002B1E27"/>
    <w:rsid w:val="002B590C"/>
    <w:rsid w:val="002B6A4A"/>
    <w:rsid w:val="002B6D92"/>
    <w:rsid w:val="002C0D86"/>
    <w:rsid w:val="002C2500"/>
    <w:rsid w:val="002C2671"/>
    <w:rsid w:val="002C3421"/>
    <w:rsid w:val="002C4DE6"/>
    <w:rsid w:val="002C50B4"/>
    <w:rsid w:val="002C5B0D"/>
    <w:rsid w:val="002C7976"/>
    <w:rsid w:val="002D04AD"/>
    <w:rsid w:val="002D07E7"/>
    <w:rsid w:val="002D0D91"/>
    <w:rsid w:val="002D1497"/>
    <w:rsid w:val="002D1F9A"/>
    <w:rsid w:val="002D273D"/>
    <w:rsid w:val="002D2DBA"/>
    <w:rsid w:val="002D2F61"/>
    <w:rsid w:val="002D50AA"/>
    <w:rsid w:val="002D6534"/>
    <w:rsid w:val="002E09F2"/>
    <w:rsid w:val="002E2B0D"/>
    <w:rsid w:val="002E6F2F"/>
    <w:rsid w:val="002E753B"/>
    <w:rsid w:val="002F1A55"/>
    <w:rsid w:val="002F1E65"/>
    <w:rsid w:val="002F2B98"/>
    <w:rsid w:val="002F2BF3"/>
    <w:rsid w:val="002F33C5"/>
    <w:rsid w:val="002F3B23"/>
    <w:rsid w:val="002F3B9B"/>
    <w:rsid w:val="002F401D"/>
    <w:rsid w:val="002F5FA5"/>
    <w:rsid w:val="0030114F"/>
    <w:rsid w:val="00301BD8"/>
    <w:rsid w:val="00301E2B"/>
    <w:rsid w:val="00302AC4"/>
    <w:rsid w:val="0030304A"/>
    <w:rsid w:val="00304B88"/>
    <w:rsid w:val="00304CF3"/>
    <w:rsid w:val="00306BFA"/>
    <w:rsid w:val="00310679"/>
    <w:rsid w:val="00312871"/>
    <w:rsid w:val="003158C2"/>
    <w:rsid w:val="00316ABD"/>
    <w:rsid w:val="003175B9"/>
    <w:rsid w:val="003222BE"/>
    <w:rsid w:val="00322E2B"/>
    <w:rsid w:val="00322EB7"/>
    <w:rsid w:val="00323C99"/>
    <w:rsid w:val="00324D75"/>
    <w:rsid w:val="003277CA"/>
    <w:rsid w:val="00330F0D"/>
    <w:rsid w:val="00332D4C"/>
    <w:rsid w:val="00333517"/>
    <w:rsid w:val="00336F82"/>
    <w:rsid w:val="00336F93"/>
    <w:rsid w:val="003373CA"/>
    <w:rsid w:val="00337FE5"/>
    <w:rsid w:val="0034211D"/>
    <w:rsid w:val="003433E2"/>
    <w:rsid w:val="003453F2"/>
    <w:rsid w:val="003470F9"/>
    <w:rsid w:val="003473F8"/>
    <w:rsid w:val="00351BCE"/>
    <w:rsid w:val="00356CAF"/>
    <w:rsid w:val="003571AC"/>
    <w:rsid w:val="0036353E"/>
    <w:rsid w:val="0036362B"/>
    <w:rsid w:val="00365BBF"/>
    <w:rsid w:val="00366755"/>
    <w:rsid w:val="003677A7"/>
    <w:rsid w:val="0037071B"/>
    <w:rsid w:val="00370D89"/>
    <w:rsid w:val="00370E31"/>
    <w:rsid w:val="00370F31"/>
    <w:rsid w:val="0037290F"/>
    <w:rsid w:val="00375257"/>
    <w:rsid w:val="00375D37"/>
    <w:rsid w:val="0038249E"/>
    <w:rsid w:val="00385F93"/>
    <w:rsid w:val="003900E0"/>
    <w:rsid w:val="003906EB"/>
    <w:rsid w:val="00390DE0"/>
    <w:rsid w:val="00391D55"/>
    <w:rsid w:val="00392B7A"/>
    <w:rsid w:val="00392DD8"/>
    <w:rsid w:val="003944F7"/>
    <w:rsid w:val="00394824"/>
    <w:rsid w:val="003949FA"/>
    <w:rsid w:val="00395122"/>
    <w:rsid w:val="003965C3"/>
    <w:rsid w:val="003A05E1"/>
    <w:rsid w:val="003A1D0A"/>
    <w:rsid w:val="003A2045"/>
    <w:rsid w:val="003A3102"/>
    <w:rsid w:val="003A42CC"/>
    <w:rsid w:val="003A4CB8"/>
    <w:rsid w:val="003A627E"/>
    <w:rsid w:val="003B0247"/>
    <w:rsid w:val="003B2A91"/>
    <w:rsid w:val="003B4351"/>
    <w:rsid w:val="003B4F3E"/>
    <w:rsid w:val="003B520E"/>
    <w:rsid w:val="003B5F2E"/>
    <w:rsid w:val="003B68FA"/>
    <w:rsid w:val="003B71F9"/>
    <w:rsid w:val="003C128E"/>
    <w:rsid w:val="003C12D5"/>
    <w:rsid w:val="003C31D7"/>
    <w:rsid w:val="003C35C9"/>
    <w:rsid w:val="003C435B"/>
    <w:rsid w:val="003C4772"/>
    <w:rsid w:val="003C603B"/>
    <w:rsid w:val="003C77D3"/>
    <w:rsid w:val="003D00C0"/>
    <w:rsid w:val="003D0C82"/>
    <w:rsid w:val="003D28FB"/>
    <w:rsid w:val="003D35B1"/>
    <w:rsid w:val="003D4A57"/>
    <w:rsid w:val="003D4E4F"/>
    <w:rsid w:val="003D720A"/>
    <w:rsid w:val="003E1C6C"/>
    <w:rsid w:val="003E2332"/>
    <w:rsid w:val="003E266C"/>
    <w:rsid w:val="003E38F5"/>
    <w:rsid w:val="003E5B8E"/>
    <w:rsid w:val="003E5EBC"/>
    <w:rsid w:val="003E74ED"/>
    <w:rsid w:val="003E7A82"/>
    <w:rsid w:val="003E7CA8"/>
    <w:rsid w:val="003F275D"/>
    <w:rsid w:val="003F3BD3"/>
    <w:rsid w:val="003F3BDA"/>
    <w:rsid w:val="003F50E0"/>
    <w:rsid w:val="003F552D"/>
    <w:rsid w:val="003F5B82"/>
    <w:rsid w:val="00400017"/>
    <w:rsid w:val="00402F75"/>
    <w:rsid w:val="00404E39"/>
    <w:rsid w:val="00405AD0"/>
    <w:rsid w:val="004068ED"/>
    <w:rsid w:val="00406A00"/>
    <w:rsid w:val="00406DFB"/>
    <w:rsid w:val="00410072"/>
    <w:rsid w:val="004102B4"/>
    <w:rsid w:val="0041035D"/>
    <w:rsid w:val="00414D5D"/>
    <w:rsid w:val="00415404"/>
    <w:rsid w:val="00415506"/>
    <w:rsid w:val="00417059"/>
    <w:rsid w:val="004201D8"/>
    <w:rsid w:val="00420AC9"/>
    <w:rsid w:val="00421504"/>
    <w:rsid w:val="0042296C"/>
    <w:rsid w:val="004234CC"/>
    <w:rsid w:val="004239C7"/>
    <w:rsid w:val="00423BF0"/>
    <w:rsid w:val="00424359"/>
    <w:rsid w:val="00424405"/>
    <w:rsid w:val="004260FD"/>
    <w:rsid w:val="0042624F"/>
    <w:rsid w:val="004262F3"/>
    <w:rsid w:val="004304A7"/>
    <w:rsid w:val="00431C81"/>
    <w:rsid w:val="00432B9A"/>
    <w:rsid w:val="004332D6"/>
    <w:rsid w:val="00433769"/>
    <w:rsid w:val="0043443F"/>
    <w:rsid w:val="004412F6"/>
    <w:rsid w:val="004428B5"/>
    <w:rsid w:val="00443AE9"/>
    <w:rsid w:val="00445774"/>
    <w:rsid w:val="00446BF1"/>
    <w:rsid w:val="00447307"/>
    <w:rsid w:val="00450A61"/>
    <w:rsid w:val="00450BCC"/>
    <w:rsid w:val="00452E63"/>
    <w:rsid w:val="00453304"/>
    <w:rsid w:val="00455268"/>
    <w:rsid w:val="00455798"/>
    <w:rsid w:val="004568BD"/>
    <w:rsid w:val="00456A92"/>
    <w:rsid w:val="00456C8C"/>
    <w:rsid w:val="00456FB5"/>
    <w:rsid w:val="0045711E"/>
    <w:rsid w:val="00457746"/>
    <w:rsid w:val="00461982"/>
    <w:rsid w:val="00461B60"/>
    <w:rsid w:val="00461D40"/>
    <w:rsid w:val="00464CD3"/>
    <w:rsid w:val="0046575F"/>
    <w:rsid w:val="004662EC"/>
    <w:rsid w:val="00466A9A"/>
    <w:rsid w:val="00470E45"/>
    <w:rsid w:val="00472771"/>
    <w:rsid w:val="0047420D"/>
    <w:rsid w:val="004771B2"/>
    <w:rsid w:val="004802A7"/>
    <w:rsid w:val="00481856"/>
    <w:rsid w:val="0048491F"/>
    <w:rsid w:val="004864D2"/>
    <w:rsid w:val="004866AB"/>
    <w:rsid w:val="00486F3A"/>
    <w:rsid w:val="00491726"/>
    <w:rsid w:val="00491DFF"/>
    <w:rsid w:val="00494A41"/>
    <w:rsid w:val="00497B11"/>
    <w:rsid w:val="00497D31"/>
    <w:rsid w:val="004A1D43"/>
    <w:rsid w:val="004A2698"/>
    <w:rsid w:val="004A314E"/>
    <w:rsid w:val="004A4A68"/>
    <w:rsid w:val="004A7656"/>
    <w:rsid w:val="004B053B"/>
    <w:rsid w:val="004B14D5"/>
    <w:rsid w:val="004B19F5"/>
    <w:rsid w:val="004B1D5E"/>
    <w:rsid w:val="004B3056"/>
    <w:rsid w:val="004B31D8"/>
    <w:rsid w:val="004B3C4E"/>
    <w:rsid w:val="004B4729"/>
    <w:rsid w:val="004B4800"/>
    <w:rsid w:val="004B6B0B"/>
    <w:rsid w:val="004C036A"/>
    <w:rsid w:val="004C128F"/>
    <w:rsid w:val="004C172A"/>
    <w:rsid w:val="004C3FC3"/>
    <w:rsid w:val="004C6E85"/>
    <w:rsid w:val="004C73D9"/>
    <w:rsid w:val="004C7D44"/>
    <w:rsid w:val="004C7F15"/>
    <w:rsid w:val="004D0C22"/>
    <w:rsid w:val="004D0E8C"/>
    <w:rsid w:val="004D110D"/>
    <w:rsid w:val="004D1846"/>
    <w:rsid w:val="004D20D8"/>
    <w:rsid w:val="004D5099"/>
    <w:rsid w:val="004D6263"/>
    <w:rsid w:val="004E0F9D"/>
    <w:rsid w:val="004E34E7"/>
    <w:rsid w:val="004E453F"/>
    <w:rsid w:val="004E4D4B"/>
    <w:rsid w:val="004E4E73"/>
    <w:rsid w:val="004E6171"/>
    <w:rsid w:val="004E6E17"/>
    <w:rsid w:val="004F09F0"/>
    <w:rsid w:val="004F12C4"/>
    <w:rsid w:val="004F58BB"/>
    <w:rsid w:val="004F7E62"/>
    <w:rsid w:val="005001A5"/>
    <w:rsid w:val="00500C62"/>
    <w:rsid w:val="0050217E"/>
    <w:rsid w:val="0050357B"/>
    <w:rsid w:val="00504193"/>
    <w:rsid w:val="005055C6"/>
    <w:rsid w:val="005064D4"/>
    <w:rsid w:val="00506C4C"/>
    <w:rsid w:val="00506D19"/>
    <w:rsid w:val="0050741E"/>
    <w:rsid w:val="00507A58"/>
    <w:rsid w:val="00513D6A"/>
    <w:rsid w:val="00514EDD"/>
    <w:rsid w:val="00515773"/>
    <w:rsid w:val="00515E1C"/>
    <w:rsid w:val="00517219"/>
    <w:rsid w:val="00517A24"/>
    <w:rsid w:val="00520B26"/>
    <w:rsid w:val="00520DDB"/>
    <w:rsid w:val="00521034"/>
    <w:rsid w:val="00521527"/>
    <w:rsid w:val="005218CF"/>
    <w:rsid w:val="00522827"/>
    <w:rsid w:val="00525176"/>
    <w:rsid w:val="005253C0"/>
    <w:rsid w:val="0052624A"/>
    <w:rsid w:val="00527617"/>
    <w:rsid w:val="005279AE"/>
    <w:rsid w:val="005308E8"/>
    <w:rsid w:val="00531BCA"/>
    <w:rsid w:val="00532FBA"/>
    <w:rsid w:val="005344EB"/>
    <w:rsid w:val="00534EB7"/>
    <w:rsid w:val="00540D09"/>
    <w:rsid w:val="0054275E"/>
    <w:rsid w:val="00542891"/>
    <w:rsid w:val="00543255"/>
    <w:rsid w:val="00543F38"/>
    <w:rsid w:val="005442FF"/>
    <w:rsid w:val="0054595F"/>
    <w:rsid w:val="00546ADF"/>
    <w:rsid w:val="00546B26"/>
    <w:rsid w:val="00550BE9"/>
    <w:rsid w:val="00551269"/>
    <w:rsid w:val="00551A2B"/>
    <w:rsid w:val="00551E8E"/>
    <w:rsid w:val="005538A0"/>
    <w:rsid w:val="00556F84"/>
    <w:rsid w:val="005578D0"/>
    <w:rsid w:val="00557E34"/>
    <w:rsid w:val="005614F5"/>
    <w:rsid w:val="00562AB7"/>
    <w:rsid w:val="0056308F"/>
    <w:rsid w:val="00563923"/>
    <w:rsid w:val="00563C98"/>
    <w:rsid w:val="00564BCF"/>
    <w:rsid w:val="0056603F"/>
    <w:rsid w:val="00566861"/>
    <w:rsid w:val="00566878"/>
    <w:rsid w:val="00566A97"/>
    <w:rsid w:val="00566DCB"/>
    <w:rsid w:val="005678AE"/>
    <w:rsid w:val="005705DE"/>
    <w:rsid w:val="00572096"/>
    <w:rsid w:val="00572608"/>
    <w:rsid w:val="00572F02"/>
    <w:rsid w:val="005732BA"/>
    <w:rsid w:val="00574102"/>
    <w:rsid w:val="00576917"/>
    <w:rsid w:val="00577311"/>
    <w:rsid w:val="0058055F"/>
    <w:rsid w:val="0058089E"/>
    <w:rsid w:val="00581090"/>
    <w:rsid w:val="00582738"/>
    <w:rsid w:val="0058380A"/>
    <w:rsid w:val="0058419A"/>
    <w:rsid w:val="00584802"/>
    <w:rsid w:val="00585582"/>
    <w:rsid w:val="005864D5"/>
    <w:rsid w:val="005865E9"/>
    <w:rsid w:val="005877D7"/>
    <w:rsid w:val="00590B30"/>
    <w:rsid w:val="005913E7"/>
    <w:rsid w:val="0059432A"/>
    <w:rsid w:val="00595391"/>
    <w:rsid w:val="005958CD"/>
    <w:rsid w:val="00595D22"/>
    <w:rsid w:val="00595EEA"/>
    <w:rsid w:val="0059637F"/>
    <w:rsid w:val="00597545"/>
    <w:rsid w:val="00597BF2"/>
    <w:rsid w:val="00597CAC"/>
    <w:rsid w:val="005A0DFC"/>
    <w:rsid w:val="005A1493"/>
    <w:rsid w:val="005A1FC7"/>
    <w:rsid w:val="005A494C"/>
    <w:rsid w:val="005A7A16"/>
    <w:rsid w:val="005A7AC8"/>
    <w:rsid w:val="005B09CD"/>
    <w:rsid w:val="005B3FB6"/>
    <w:rsid w:val="005C3BA0"/>
    <w:rsid w:val="005C3BC5"/>
    <w:rsid w:val="005C4199"/>
    <w:rsid w:val="005C7686"/>
    <w:rsid w:val="005D106E"/>
    <w:rsid w:val="005D4CE5"/>
    <w:rsid w:val="005D52B8"/>
    <w:rsid w:val="005D54C1"/>
    <w:rsid w:val="005D59D8"/>
    <w:rsid w:val="005E0CAF"/>
    <w:rsid w:val="005E216F"/>
    <w:rsid w:val="005E48BD"/>
    <w:rsid w:val="005E51A5"/>
    <w:rsid w:val="005E54E5"/>
    <w:rsid w:val="005E55FF"/>
    <w:rsid w:val="005F1503"/>
    <w:rsid w:val="005F2D16"/>
    <w:rsid w:val="005F320E"/>
    <w:rsid w:val="005F49BC"/>
    <w:rsid w:val="005F7417"/>
    <w:rsid w:val="005F75F0"/>
    <w:rsid w:val="005F7881"/>
    <w:rsid w:val="005F7F09"/>
    <w:rsid w:val="006020CA"/>
    <w:rsid w:val="006037F7"/>
    <w:rsid w:val="006053F1"/>
    <w:rsid w:val="006054BA"/>
    <w:rsid w:val="006064D3"/>
    <w:rsid w:val="00606EC6"/>
    <w:rsid w:val="00607018"/>
    <w:rsid w:val="00612704"/>
    <w:rsid w:val="00612EAC"/>
    <w:rsid w:val="0061567A"/>
    <w:rsid w:val="00615AD4"/>
    <w:rsid w:val="006166C7"/>
    <w:rsid w:val="00617251"/>
    <w:rsid w:val="006176B1"/>
    <w:rsid w:val="006176B5"/>
    <w:rsid w:val="00622A00"/>
    <w:rsid w:val="00624434"/>
    <w:rsid w:val="006246E7"/>
    <w:rsid w:val="00625B8D"/>
    <w:rsid w:val="006263AE"/>
    <w:rsid w:val="0062776D"/>
    <w:rsid w:val="006320CB"/>
    <w:rsid w:val="0063342E"/>
    <w:rsid w:val="00633CC0"/>
    <w:rsid w:val="00634EF7"/>
    <w:rsid w:val="006367FF"/>
    <w:rsid w:val="006401BF"/>
    <w:rsid w:val="00640272"/>
    <w:rsid w:val="00641AFA"/>
    <w:rsid w:val="0064204E"/>
    <w:rsid w:val="0064298A"/>
    <w:rsid w:val="00643E03"/>
    <w:rsid w:val="00644727"/>
    <w:rsid w:val="00645645"/>
    <w:rsid w:val="00645874"/>
    <w:rsid w:val="0064636F"/>
    <w:rsid w:val="0064664F"/>
    <w:rsid w:val="006470F2"/>
    <w:rsid w:val="006521F7"/>
    <w:rsid w:val="00652FAD"/>
    <w:rsid w:val="00654905"/>
    <w:rsid w:val="006572D7"/>
    <w:rsid w:val="006578F6"/>
    <w:rsid w:val="00657B80"/>
    <w:rsid w:val="00662CC5"/>
    <w:rsid w:val="00663C72"/>
    <w:rsid w:val="0066713D"/>
    <w:rsid w:val="00667284"/>
    <w:rsid w:val="00670A16"/>
    <w:rsid w:val="00672E06"/>
    <w:rsid w:val="0067387D"/>
    <w:rsid w:val="00673BE3"/>
    <w:rsid w:val="006747CE"/>
    <w:rsid w:val="00674954"/>
    <w:rsid w:val="00675F1D"/>
    <w:rsid w:val="0067635F"/>
    <w:rsid w:val="00676949"/>
    <w:rsid w:val="006818B3"/>
    <w:rsid w:val="00681CCA"/>
    <w:rsid w:val="006915CA"/>
    <w:rsid w:val="00692D6A"/>
    <w:rsid w:val="006934C6"/>
    <w:rsid w:val="00694FC0"/>
    <w:rsid w:val="00697721"/>
    <w:rsid w:val="006978E8"/>
    <w:rsid w:val="006A0B6E"/>
    <w:rsid w:val="006A20B1"/>
    <w:rsid w:val="006A4478"/>
    <w:rsid w:val="006A62E6"/>
    <w:rsid w:val="006A68E7"/>
    <w:rsid w:val="006A6FFB"/>
    <w:rsid w:val="006B0885"/>
    <w:rsid w:val="006B1E36"/>
    <w:rsid w:val="006B43E0"/>
    <w:rsid w:val="006B47F0"/>
    <w:rsid w:val="006B5734"/>
    <w:rsid w:val="006B62AD"/>
    <w:rsid w:val="006B65F2"/>
    <w:rsid w:val="006B6712"/>
    <w:rsid w:val="006B7CB6"/>
    <w:rsid w:val="006C0F6B"/>
    <w:rsid w:val="006C1157"/>
    <w:rsid w:val="006C15DB"/>
    <w:rsid w:val="006C348D"/>
    <w:rsid w:val="006C488A"/>
    <w:rsid w:val="006C6170"/>
    <w:rsid w:val="006C700D"/>
    <w:rsid w:val="006C746D"/>
    <w:rsid w:val="006D1E66"/>
    <w:rsid w:val="006D277F"/>
    <w:rsid w:val="006D455F"/>
    <w:rsid w:val="006E0007"/>
    <w:rsid w:val="006E0228"/>
    <w:rsid w:val="006E295A"/>
    <w:rsid w:val="006E302B"/>
    <w:rsid w:val="006E6030"/>
    <w:rsid w:val="006E736C"/>
    <w:rsid w:val="006E7A7B"/>
    <w:rsid w:val="006F0017"/>
    <w:rsid w:val="006F0480"/>
    <w:rsid w:val="006F2F43"/>
    <w:rsid w:val="006F64C2"/>
    <w:rsid w:val="0070568E"/>
    <w:rsid w:val="00705774"/>
    <w:rsid w:val="00706AC7"/>
    <w:rsid w:val="007078F2"/>
    <w:rsid w:val="00710352"/>
    <w:rsid w:val="00710C28"/>
    <w:rsid w:val="007127BD"/>
    <w:rsid w:val="00712F57"/>
    <w:rsid w:val="0071689F"/>
    <w:rsid w:val="0071707B"/>
    <w:rsid w:val="00722F44"/>
    <w:rsid w:val="007232BB"/>
    <w:rsid w:val="007233C8"/>
    <w:rsid w:val="00723604"/>
    <w:rsid w:val="00723A97"/>
    <w:rsid w:val="00723FD0"/>
    <w:rsid w:val="0072524A"/>
    <w:rsid w:val="00725E01"/>
    <w:rsid w:val="00726134"/>
    <w:rsid w:val="00727299"/>
    <w:rsid w:val="00727DA2"/>
    <w:rsid w:val="0073001B"/>
    <w:rsid w:val="00730FE5"/>
    <w:rsid w:val="00731482"/>
    <w:rsid w:val="0073267A"/>
    <w:rsid w:val="00733B4A"/>
    <w:rsid w:val="00734226"/>
    <w:rsid w:val="00737D7F"/>
    <w:rsid w:val="007426AA"/>
    <w:rsid w:val="007440F5"/>
    <w:rsid w:val="00744808"/>
    <w:rsid w:val="00745236"/>
    <w:rsid w:val="00745EF3"/>
    <w:rsid w:val="007474B1"/>
    <w:rsid w:val="00750BCB"/>
    <w:rsid w:val="00751B25"/>
    <w:rsid w:val="00751B31"/>
    <w:rsid w:val="00756915"/>
    <w:rsid w:val="0076037F"/>
    <w:rsid w:val="00761491"/>
    <w:rsid w:val="00761A67"/>
    <w:rsid w:val="007629CD"/>
    <w:rsid w:val="007637A1"/>
    <w:rsid w:val="007650D8"/>
    <w:rsid w:val="00765DCC"/>
    <w:rsid w:val="007670EB"/>
    <w:rsid w:val="0077034A"/>
    <w:rsid w:val="00775B0B"/>
    <w:rsid w:val="00776907"/>
    <w:rsid w:val="007769CD"/>
    <w:rsid w:val="00782A8C"/>
    <w:rsid w:val="007853A8"/>
    <w:rsid w:val="007864B9"/>
    <w:rsid w:val="007903F2"/>
    <w:rsid w:val="0079067A"/>
    <w:rsid w:val="00791108"/>
    <w:rsid w:val="007911B5"/>
    <w:rsid w:val="007911CE"/>
    <w:rsid w:val="00793FF1"/>
    <w:rsid w:val="0079650D"/>
    <w:rsid w:val="007A2F36"/>
    <w:rsid w:val="007A32F8"/>
    <w:rsid w:val="007A3848"/>
    <w:rsid w:val="007A3CB2"/>
    <w:rsid w:val="007A5265"/>
    <w:rsid w:val="007A55F9"/>
    <w:rsid w:val="007A6AF1"/>
    <w:rsid w:val="007A7297"/>
    <w:rsid w:val="007A7FDC"/>
    <w:rsid w:val="007B2373"/>
    <w:rsid w:val="007B25C3"/>
    <w:rsid w:val="007B325B"/>
    <w:rsid w:val="007B54C7"/>
    <w:rsid w:val="007B68E1"/>
    <w:rsid w:val="007C00B5"/>
    <w:rsid w:val="007C0DA4"/>
    <w:rsid w:val="007C6D34"/>
    <w:rsid w:val="007C7BEE"/>
    <w:rsid w:val="007D118A"/>
    <w:rsid w:val="007D35CB"/>
    <w:rsid w:val="007D3D3C"/>
    <w:rsid w:val="007D416F"/>
    <w:rsid w:val="007D56C4"/>
    <w:rsid w:val="007D68DA"/>
    <w:rsid w:val="007D692A"/>
    <w:rsid w:val="007D6F9F"/>
    <w:rsid w:val="007E258D"/>
    <w:rsid w:val="007E4108"/>
    <w:rsid w:val="007E43FB"/>
    <w:rsid w:val="007E47C3"/>
    <w:rsid w:val="007E4E17"/>
    <w:rsid w:val="007E511D"/>
    <w:rsid w:val="007E5BBD"/>
    <w:rsid w:val="007E6572"/>
    <w:rsid w:val="007E65C0"/>
    <w:rsid w:val="007F03DE"/>
    <w:rsid w:val="007F0D31"/>
    <w:rsid w:val="007F1ABF"/>
    <w:rsid w:val="007F46E4"/>
    <w:rsid w:val="007F5B4B"/>
    <w:rsid w:val="007F78C2"/>
    <w:rsid w:val="00801B2E"/>
    <w:rsid w:val="00804038"/>
    <w:rsid w:val="00805093"/>
    <w:rsid w:val="00810441"/>
    <w:rsid w:val="00810988"/>
    <w:rsid w:val="008109CB"/>
    <w:rsid w:val="008115FC"/>
    <w:rsid w:val="00811ACE"/>
    <w:rsid w:val="0081265F"/>
    <w:rsid w:val="00812AB0"/>
    <w:rsid w:val="008130E3"/>
    <w:rsid w:val="008155B7"/>
    <w:rsid w:val="00821CDA"/>
    <w:rsid w:val="0082232A"/>
    <w:rsid w:val="0082449A"/>
    <w:rsid w:val="008260AE"/>
    <w:rsid w:val="008271FA"/>
    <w:rsid w:val="00831099"/>
    <w:rsid w:val="008325D6"/>
    <w:rsid w:val="00832737"/>
    <w:rsid w:val="00833A3C"/>
    <w:rsid w:val="00835365"/>
    <w:rsid w:val="0083610C"/>
    <w:rsid w:val="00836A88"/>
    <w:rsid w:val="008371F1"/>
    <w:rsid w:val="0084115C"/>
    <w:rsid w:val="00841612"/>
    <w:rsid w:val="008425BB"/>
    <w:rsid w:val="00842C26"/>
    <w:rsid w:val="00843FD8"/>
    <w:rsid w:val="008446C8"/>
    <w:rsid w:val="008448FB"/>
    <w:rsid w:val="00844F78"/>
    <w:rsid w:val="0084592F"/>
    <w:rsid w:val="00847CA2"/>
    <w:rsid w:val="00852E02"/>
    <w:rsid w:val="00854951"/>
    <w:rsid w:val="00855437"/>
    <w:rsid w:val="00855ED2"/>
    <w:rsid w:val="008563D2"/>
    <w:rsid w:val="0085660F"/>
    <w:rsid w:val="00856A21"/>
    <w:rsid w:val="008579C2"/>
    <w:rsid w:val="0086144A"/>
    <w:rsid w:val="008631A5"/>
    <w:rsid w:val="00867139"/>
    <w:rsid w:val="00871536"/>
    <w:rsid w:val="00871C0B"/>
    <w:rsid w:val="00874149"/>
    <w:rsid w:val="008760FF"/>
    <w:rsid w:val="0087631D"/>
    <w:rsid w:val="00876740"/>
    <w:rsid w:val="00876EC6"/>
    <w:rsid w:val="008770FE"/>
    <w:rsid w:val="00883530"/>
    <w:rsid w:val="0088408C"/>
    <w:rsid w:val="00887FD9"/>
    <w:rsid w:val="00894039"/>
    <w:rsid w:val="0089508B"/>
    <w:rsid w:val="00897D34"/>
    <w:rsid w:val="008A0680"/>
    <w:rsid w:val="008A205D"/>
    <w:rsid w:val="008A2252"/>
    <w:rsid w:val="008A22AC"/>
    <w:rsid w:val="008A71A2"/>
    <w:rsid w:val="008A7FD7"/>
    <w:rsid w:val="008B0375"/>
    <w:rsid w:val="008B2AC6"/>
    <w:rsid w:val="008B3B34"/>
    <w:rsid w:val="008B456B"/>
    <w:rsid w:val="008B49C1"/>
    <w:rsid w:val="008B5E24"/>
    <w:rsid w:val="008B73E7"/>
    <w:rsid w:val="008B76B9"/>
    <w:rsid w:val="008C24E5"/>
    <w:rsid w:val="008C6A68"/>
    <w:rsid w:val="008C6E6E"/>
    <w:rsid w:val="008D0664"/>
    <w:rsid w:val="008D1B79"/>
    <w:rsid w:val="008D1D9C"/>
    <w:rsid w:val="008D295C"/>
    <w:rsid w:val="008D452E"/>
    <w:rsid w:val="008D4632"/>
    <w:rsid w:val="008D64F0"/>
    <w:rsid w:val="008D67D7"/>
    <w:rsid w:val="008D725E"/>
    <w:rsid w:val="008D74E4"/>
    <w:rsid w:val="008D76F6"/>
    <w:rsid w:val="008D78BC"/>
    <w:rsid w:val="008E059F"/>
    <w:rsid w:val="008E0981"/>
    <w:rsid w:val="008E33B7"/>
    <w:rsid w:val="008E3436"/>
    <w:rsid w:val="008E3495"/>
    <w:rsid w:val="008E37A1"/>
    <w:rsid w:val="008E3F34"/>
    <w:rsid w:val="008E443F"/>
    <w:rsid w:val="008E4F2A"/>
    <w:rsid w:val="008E64A8"/>
    <w:rsid w:val="008E755D"/>
    <w:rsid w:val="008F01F2"/>
    <w:rsid w:val="008F0642"/>
    <w:rsid w:val="008F166B"/>
    <w:rsid w:val="008F2E9B"/>
    <w:rsid w:val="008F47FC"/>
    <w:rsid w:val="008F6532"/>
    <w:rsid w:val="009002C7"/>
    <w:rsid w:val="0090397C"/>
    <w:rsid w:val="00904F72"/>
    <w:rsid w:val="009063B8"/>
    <w:rsid w:val="00911E1F"/>
    <w:rsid w:val="00911E9C"/>
    <w:rsid w:val="0091365E"/>
    <w:rsid w:val="00913DC7"/>
    <w:rsid w:val="00914E3F"/>
    <w:rsid w:val="00915174"/>
    <w:rsid w:val="00915B07"/>
    <w:rsid w:val="00915D0D"/>
    <w:rsid w:val="00915F27"/>
    <w:rsid w:val="00916187"/>
    <w:rsid w:val="00916D81"/>
    <w:rsid w:val="00917113"/>
    <w:rsid w:val="00921254"/>
    <w:rsid w:val="009216E3"/>
    <w:rsid w:val="0092232D"/>
    <w:rsid w:val="00926B06"/>
    <w:rsid w:val="009274CD"/>
    <w:rsid w:val="009306BF"/>
    <w:rsid w:val="0093112A"/>
    <w:rsid w:val="009315A3"/>
    <w:rsid w:val="0093173B"/>
    <w:rsid w:val="00931A87"/>
    <w:rsid w:val="00931E7D"/>
    <w:rsid w:val="009416DC"/>
    <w:rsid w:val="00941964"/>
    <w:rsid w:val="0094343E"/>
    <w:rsid w:val="00944FCA"/>
    <w:rsid w:val="00945ADD"/>
    <w:rsid w:val="009467B7"/>
    <w:rsid w:val="00946925"/>
    <w:rsid w:val="00947774"/>
    <w:rsid w:val="00951061"/>
    <w:rsid w:val="0095120B"/>
    <w:rsid w:val="009513C6"/>
    <w:rsid w:val="00951E33"/>
    <w:rsid w:val="00952CCC"/>
    <w:rsid w:val="009538B9"/>
    <w:rsid w:val="0095424C"/>
    <w:rsid w:val="00954649"/>
    <w:rsid w:val="00955521"/>
    <w:rsid w:val="0095561E"/>
    <w:rsid w:val="00956667"/>
    <w:rsid w:val="00960BD5"/>
    <w:rsid w:val="00962EF8"/>
    <w:rsid w:val="0096342F"/>
    <w:rsid w:val="00963BC9"/>
    <w:rsid w:val="00965169"/>
    <w:rsid w:val="009659AE"/>
    <w:rsid w:val="00970866"/>
    <w:rsid w:val="00970C76"/>
    <w:rsid w:val="00971279"/>
    <w:rsid w:val="0097129A"/>
    <w:rsid w:val="009750DC"/>
    <w:rsid w:val="00976653"/>
    <w:rsid w:val="009772CB"/>
    <w:rsid w:val="00977864"/>
    <w:rsid w:val="009779E6"/>
    <w:rsid w:val="009802B6"/>
    <w:rsid w:val="00982134"/>
    <w:rsid w:val="00982294"/>
    <w:rsid w:val="00984CD2"/>
    <w:rsid w:val="0098751E"/>
    <w:rsid w:val="00987DEC"/>
    <w:rsid w:val="00990BDB"/>
    <w:rsid w:val="0099151A"/>
    <w:rsid w:val="0099259C"/>
    <w:rsid w:val="00992F40"/>
    <w:rsid w:val="00993E88"/>
    <w:rsid w:val="00995824"/>
    <w:rsid w:val="00996D53"/>
    <w:rsid w:val="009A1133"/>
    <w:rsid w:val="009A159E"/>
    <w:rsid w:val="009A1D3E"/>
    <w:rsid w:val="009A364E"/>
    <w:rsid w:val="009A3788"/>
    <w:rsid w:val="009A4979"/>
    <w:rsid w:val="009A6269"/>
    <w:rsid w:val="009A655B"/>
    <w:rsid w:val="009A669C"/>
    <w:rsid w:val="009A680E"/>
    <w:rsid w:val="009B106B"/>
    <w:rsid w:val="009B3568"/>
    <w:rsid w:val="009B4044"/>
    <w:rsid w:val="009B4F7A"/>
    <w:rsid w:val="009B5250"/>
    <w:rsid w:val="009B608E"/>
    <w:rsid w:val="009B6907"/>
    <w:rsid w:val="009C1258"/>
    <w:rsid w:val="009C1C4A"/>
    <w:rsid w:val="009C1DF7"/>
    <w:rsid w:val="009C229D"/>
    <w:rsid w:val="009C4A80"/>
    <w:rsid w:val="009C600A"/>
    <w:rsid w:val="009C636A"/>
    <w:rsid w:val="009C7037"/>
    <w:rsid w:val="009C7AF0"/>
    <w:rsid w:val="009D0FEB"/>
    <w:rsid w:val="009D3504"/>
    <w:rsid w:val="009D35B4"/>
    <w:rsid w:val="009D490C"/>
    <w:rsid w:val="009D5D1F"/>
    <w:rsid w:val="009D770E"/>
    <w:rsid w:val="009E1FF5"/>
    <w:rsid w:val="009E3343"/>
    <w:rsid w:val="009E5DFA"/>
    <w:rsid w:val="009E68CD"/>
    <w:rsid w:val="009F0AFE"/>
    <w:rsid w:val="009F1253"/>
    <w:rsid w:val="009F27AC"/>
    <w:rsid w:val="009F2D21"/>
    <w:rsid w:val="009F35B0"/>
    <w:rsid w:val="009F3C29"/>
    <w:rsid w:val="009F4ED1"/>
    <w:rsid w:val="009F5375"/>
    <w:rsid w:val="009F578B"/>
    <w:rsid w:val="00A00C23"/>
    <w:rsid w:val="00A00CDE"/>
    <w:rsid w:val="00A01FF5"/>
    <w:rsid w:val="00A02700"/>
    <w:rsid w:val="00A03EED"/>
    <w:rsid w:val="00A041F7"/>
    <w:rsid w:val="00A07429"/>
    <w:rsid w:val="00A07EFC"/>
    <w:rsid w:val="00A127D3"/>
    <w:rsid w:val="00A1329B"/>
    <w:rsid w:val="00A14743"/>
    <w:rsid w:val="00A14B70"/>
    <w:rsid w:val="00A216AD"/>
    <w:rsid w:val="00A22109"/>
    <w:rsid w:val="00A22135"/>
    <w:rsid w:val="00A23032"/>
    <w:rsid w:val="00A23DA3"/>
    <w:rsid w:val="00A24E01"/>
    <w:rsid w:val="00A24E4E"/>
    <w:rsid w:val="00A26AC4"/>
    <w:rsid w:val="00A27209"/>
    <w:rsid w:val="00A27DA3"/>
    <w:rsid w:val="00A31441"/>
    <w:rsid w:val="00A32C8C"/>
    <w:rsid w:val="00A333B1"/>
    <w:rsid w:val="00A33493"/>
    <w:rsid w:val="00A339B3"/>
    <w:rsid w:val="00A35F2A"/>
    <w:rsid w:val="00A35F9B"/>
    <w:rsid w:val="00A40B08"/>
    <w:rsid w:val="00A424ED"/>
    <w:rsid w:val="00A42804"/>
    <w:rsid w:val="00A468C2"/>
    <w:rsid w:val="00A519EF"/>
    <w:rsid w:val="00A51C09"/>
    <w:rsid w:val="00A52C2D"/>
    <w:rsid w:val="00A53CA0"/>
    <w:rsid w:val="00A5492C"/>
    <w:rsid w:val="00A551F7"/>
    <w:rsid w:val="00A55916"/>
    <w:rsid w:val="00A56FF3"/>
    <w:rsid w:val="00A62714"/>
    <w:rsid w:val="00A62F29"/>
    <w:rsid w:val="00A6330F"/>
    <w:rsid w:val="00A644D2"/>
    <w:rsid w:val="00A67BED"/>
    <w:rsid w:val="00A70A0A"/>
    <w:rsid w:val="00A72714"/>
    <w:rsid w:val="00A76C65"/>
    <w:rsid w:val="00A773F0"/>
    <w:rsid w:val="00A8513F"/>
    <w:rsid w:val="00A856A2"/>
    <w:rsid w:val="00A9464D"/>
    <w:rsid w:val="00A9499A"/>
    <w:rsid w:val="00A95846"/>
    <w:rsid w:val="00AA0D3C"/>
    <w:rsid w:val="00AA120D"/>
    <w:rsid w:val="00AA381F"/>
    <w:rsid w:val="00AA62AD"/>
    <w:rsid w:val="00AA761E"/>
    <w:rsid w:val="00AA78A2"/>
    <w:rsid w:val="00AA7ECC"/>
    <w:rsid w:val="00AB1E65"/>
    <w:rsid w:val="00AB4788"/>
    <w:rsid w:val="00AB4CB9"/>
    <w:rsid w:val="00AB625B"/>
    <w:rsid w:val="00AB7C57"/>
    <w:rsid w:val="00AC2D78"/>
    <w:rsid w:val="00AC2E25"/>
    <w:rsid w:val="00AC3BB7"/>
    <w:rsid w:val="00AC3E06"/>
    <w:rsid w:val="00AC48F4"/>
    <w:rsid w:val="00AC4FDA"/>
    <w:rsid w:val="00AC6AC9"/>
    <w:rsid w:val="00AD1230"/>
    <w:rsid w:val="00AD3BA3"/>
    <w:rsid w:val="00AD457F"/>
    <w:rsid w:val="00AE0380"/>
    <w:rsid w:val="00AE045E"/>
    <w:rsid w:val="00AE1DB8"/>
    <w:rsid w:val="00AE23E6"/>
    <w:rsid w:val="00AE2EF2"/>
    <w:rsid w:val="00AE33CF"/>
    <w:rsid w:val="00AE34D5"/>
    <w:rsid w:val="00AE5F3F"/>
    <w:rsid w:val="00AF0DB9"/>
    <w:rsid w:val="00AF1257"/>
    <w:rsid w:val="00AF1286"/>
    <w:rsid w:val="00AF2BDF"/>
    <w:rsid w:val="00AF2C38"/>
    <w:rsid w:val="00AF2E02"/>
    <w:rsid w:val="00AF42F9"/>
    <w:rsid w:val="00AF48E2"/>
    <w:rsid w:val="00AF4F56"/>
    <w:rsid w:val="00B01A65"/>
    <w:rsid w:val="00B01F1D"/>
    <w:rsid w:val="00B02929"/>
    <w:rsid w:val="00B02E7F"/>
    <w:rsid w:val="00B04AF1"/>
    <w:rsid w:val="00B05F5A"/>
    <w:rsid w:val="00B06790"/>
    <w:rsid w:val="00B1083C"/>
    <w:rsid w:val="00B116BE"/>
    <w:rsid w:val="00B12252"/>
    <w:rsid w:val="00B12F74"/>
    <w:rsid w:val="00B15D29"/>
    <w:rsid w:val="00B200E9"/>
    <w:rsid w:val="00B21E1F"/>
    <w:rsid w:val="00B2207D"/>
    <w:rsid w:val="00B23B51"/>
    <w:rsid w:val="00B24840"/>
    <w:rsid w:val="00B25E69"/>
    <w:rsid w:val="00B3063A"/>
    <w:rsid w:val="00B314D8"/>
    <w:rsid w:val="00B315A8"/>
    <w:rsid w:val="00B31FDF"/>
    <w:rsid w:val="00B3293F"/>
    <w:rsid w:val="00B33171"/>
    <w:rsid w:val="00B357B0"/>
    <w:rsid w:val="00B36D22"/>
    <w:rsid w:val="00B41936"/>
    <w:rsid w:val="00B43EF7"/>
    <w:rsid w:val="00B45748"/>
    <w:rsid w:val="00B47062"/>
    <w:rsid w:val="00B47463"/>
    <w:rsid w:val="00B503C6"/>
    <w:rsid w:val="00B509CE"/>
    <w:rsid w:val="00B517A5"/>
    <w:rsid w:val="00B52AB0"/>
    <w:rsid w:val="00B533BA"/>
    <w:rsid w:val="00B5390C"/>
    <w:rsid w:val="00B57A8D"/>
    <w:rsid w:val="00B57D56"/>
    <w:rsid w:val="00B6079A"/>
    <w:rsid w:val="00B60AC9"/>
    <w:rsid w:val="00B658FD"/>
    <w:rsid w:val="00B66537"/>
    <w:rsid w:val="00B66FAB"/>
    <w:rsid w:val="00B6751E"/>
    <w:rsid w:val="00B760AD"/>
    <w:rsid w:val="00B812CE"/>
    <w:rsid w:val="00B81673"/>
    <w:rsid w:val="00B82DAE"/>
    <w:rsid w:val="00B837C4"/>
    <w:rsid w:val="00B8487C"/>
    <w:rsid w:val="00B854B4"/>
    <w:rsid w:val="00B945C0"/>
    <w:rsid w:val="00B95611"/>
    <w:rsid w:val="00B975DC"/>
    <w:rsid w:val="00BA0C9C"/>
    <w:rsid w:val="00BA4AC0"/>
    <w:rsid w:val="00BA57D1"/>
    <w:rsid w:val="00BA5FA7"/>
    <w:rsid w:val="00BA6471"/>
    <w:rsid w:val="00BA6B29"/>
    <w:rsid w:val="00BA6FF9"/>
    <w:rsid w:val="00BA77A5"/>
    <w:rsid w:val="00BA7EBC"/>
    <w:rsid w:val="00BB00AD"/>
    <w:rsid w:val="00BB0380"/>
    <w:rsid w:val="00BB0394"/>
    <w:rsid w:val="00BB0AB4"/>
    <w:rsid w:val="00BB3DED"/>
    <w:rsid w:val="00BB4B50"/>
    <w:rsid w:val="00BB54CF"/>
    <w:rsid w:val="00BB6A64"/>
    <w:rsid w:val="00BB7523"/>
    <w:rsid w:val="00BB795F"/>
    <w:rsid w:val="00BC0ACC"/>
    <w:rsid w:val="00BC0B87"/>
    <w:rsid w:val="00BC244A"/>
    <w:rsid w:val="00BC24E7"/>
    <w:rsid w:val="00BC4494"/>
    <w:rsid w:val="00BC78CB"/>
    <w:rsid w:val="00BD0573"/>
    <w:rsid w:val="00BD0B8E"/>
    <w:rsid w:val="00BD2E36"/>
    <w:rsid w:val="00BD300B"/>
    <w:rsid w:val="00BD35AC"/>
    <w:rsid w:val="00BD4B35"/>
    <w:rsid w:val="00BD5132"/>
    <w:rsid w:val="00BD51ED"/>
    <w:rsid w:val="00BD5B06"/>
    <w:rsid w:val="00BD5EE9"/>
    <w:rsid w:val="00BE079D"/>
    <w:rsid w:val="00BE2044"/>
    <w:rsid w:val="00BE263A"/>
    <w:rsid w:val="00BE3049"/>
    <w:rsid w:val="00BE3BD7"/>
    <w:rsid w:val="00BE3DE1"/>
    <w:rsid w:val="00BE4F72"/>
    <w:rsid w:val="00BE6849"/>
    <w:rsid w:val="00BE6D56"/>
    <w:rsid w:val="00BE7F4F"/>
    <w:rsid w:val="00BF427D"/>
    <w:rsid w:val="00BF4903"/>
    <w:rsid w:val="00BF4BFC"/>
    <w:rsid w:val="00BF59C9"/>
    <w:rsid w:val="00BF65A3"/>
    <w:rsid w:val="00BF67E9"/>
    <w:rsid w:val="00C01578"/>
    <w:rsid w:val="00C03932"/>
    <w:rsid w:val="00C04303"/>
    <w:rsid w:val="00C0502D"/>
    <w:rsid w:val="00C0563A"/>
    <w:rsid w:val="00C06809"/>
    <w:rsid w:val="00C06FB7"/>
    <w:rsid w:val="00C12598"/>
    <w:rsid w:val="00C13AAF"/>
    <w:rsid w:val="00C178E1"/>
    <w:rsid w:val="00C2042F"/>
    <w:rsid w:val="00C22797"/>
    <w:rsid w:val="00C24D19"/>
    <w:rsid w:val="00C256D0"/>
    <w:rsid w:val="00C2662D"/>
    <w:rsid w:val="00C26BC4"/>
    <w:rsid w:val="00C32676"/>
    <w:rsid w:val="00C341CE"/>
    <w:rsid w:val="00C3496F"/>
    <w:rsid w:val="00C36D28"/>
    <w:rsid w:val="00C37CD1"/>
    <w:rsid w:val="00C459FC"/>
    <w:rsid w:val="00C47DA5"/>
    <w:rsid w:val="00C501AD"/>
    <w:rsid w:val="00C51D93"/>
    <w:rsid w:val="00C520FC"/>
    <w:rsid w:val="00C52179"/>
    <w:rsid w:val="00C53C6D"/>
    <w:rsid w:val="00C56F88"/>
    <w:rsid w:val="00C57E83"/>
    <w:rsid w:val="00C63312"/>
    <w:rsid w:val="00C63654"/>
    <w:rsid w:val="00C70F61"/>
    <w:rsid w:val="00C71B21"/>
    <w:rsid w:val="00C73993"/>
    <w:rsid w:val="00C73E58"/>
    <w:rsid w:val="00C74393"/>
    <w:rsid w:val="00C7485B"/>
    <w:rsid w:val="00C7570B"/>
    <w:rsid w:val="00C76E6C"/>
    <w:rsid w:val="00C77608"/>
    <w:rsid w:val="00C7796E"/>
    <w:rsid w:val="00C80E60"/>
    <w:rsid w:val="00C81FA9"/>
    <w:rsid w:val="00C84B6B"/>
    <w:rsid w:val="00C86891"/>
    <w:rsid w:val="00C8743D"/>
    <w:rsid w:val="00C87E67"/>
    <w:rsid w:val="00C90C72"/>
    <w:rsid w:val="00C91EBE"/>
    <w:rsid w:val="00C93B4F"/>
    <w:rsid w:val="00C93DA9"/>
    <w:rsid w:val="00C94683"/>
    <w:rsid w:val="00C9604F"/>
    <w:rsid w:val="00C96B20"/>
    <w:rsid w:val="00CA0056"/>
    <w:rsid w:val="00CA0938"/>
    <w:rsid w:val="00CA0BDD"/>
    <w:rsid w:val="00CA13A3"/>
    <w:rsid w:val="00CA1AEE"/>
    <w:rsid w:val="00CA1B03"/>
    <w:rsid w:val="00CA1DAA"/>
    <w:rsid w:val="00CA1F56"/>
    <w:rsid w:val="00CA42FF"/>
    <w:rsid w:val="00CA71D2"/>
    <w:rsid w:val="00CB1211"/>
    <w:rsid w:val="00CB3043"/>
    <w:rsid w:val="00CB39A8"/>
    <w:rsid w:val="00CB39C1"/>
    <w:rsid w:val="00CB47AF"/>
    <w:rsid w:val="00CB5AA5"/>
    <w:rsid w:val="00CB6362"/>
    <w:rsid w:val="00CB6AE2"/>
    <w:rsid w:val="00CB741F"/>
    <w:rsid w:val="00CB7A90"/>
    <w:rsid w:val="00CC1883"/>
    <w:rsid w:val="00CC1C04"/>
    <w:rsid w:val="00CC37E6"/>
    <w:rsid w:val="00CC61C8"/>
    <w:rsid w:val="00CC6672"/>
    <w:rsid w:val="00CC7901"/>
    <w:rsid w:val="00CD0198"/>
    <w:rsid w:val="00CD11A5"/>
    <w:rsid w:val="00CD1EA8"/>
    <w:rsid w:val="00CD1F94"/>
    <w:rsid w:val="00CD2179"/>
    <w:rsid w:val="00CD44C4"/>
    <w:rsid w:val="00CD534C"/>
    <w:rsid w:val="00CD5E3C"/>
    <w:rsid w:val="00CE0131"/>
    <w:rsid w:val="00CE10A3"/>
    <w:rsid w:val="00CE35B4"/>
    <w:rsid w:val="00CE418C"/>
    <w:rsid w:val="00CE45C3"/>
    <w:rsid w:val="00CE5957"/>
    <w:rsid w:val="00CE60FD"/>
    <w:rsid w:val="00CE66FA"/>
    <w:rsid w:val="00CF417E"/>
    <w:rsid w:val="00CF433B"/>
    <w:rsid w:val="00CF4F4A"/>
    <w:rsid w:val="00CF5A9F"/>
    <w:rsid w:val="00CF75D2"/>
    <w:rsid w:val="00CF7BA6"/>
    <w:rsid w:val="00D011C0"/>
    <w:rsid w:val="00D01955"/>
    <w:rsid w:val="00D02AB1"/>
    <w:rsid w:val="00D04816"/>
    <w:rsid w:val="00D060F9"/>
    <w:rsid w:val="00D06205"/>
    <w:rsid w:val="00D109C2"/>
    <w:rsid w:val="00D10F9B"/>
    <w:rsid w:val="00D1121A"/>
    <w:rsid w:val="00D1212A"/>
    <w:rsid w:val="00D12293"/>
    <w:rsid w:val="00D1239E"/>
    <w:rsid w:val="00D127A8"/>
    <w:rsid w:val="00D14643"/>
    <w:rsid w:val="00D14F3E"/>
    <w:rsid w:val="00D15969"/>
    <w:rsid w:val="00D16A02"/>
    <w:rsid w:val="00D1733C"/>
    <w:rsid w:val="00D20151"/>
    <w:rsid w:val="00D20EC9"/>
    <w:rsid w:val="00D225A6"/>
    <w:rsid w:val="00D24000"/>
    <w:rsid w:val="00D26828"/>
    <w:rsid w:val="00D316A1"/>
    <w:rsid w:val="00D32A84"/>
    <w:rsid w:val="00D32B98"/>
    <w:rsid w:val="00D3367D"/>
    <w:rsid w:val="00D34F9E"/>
    <w:rsid w:val="00D40421"/>
    <w:rsid w:val="00D44921"/>
    <w:rsid w:val="00D50D69"/>
    <w:rsid w:val="00D52884"/>
    <w:rsid w:val="00D5347F"/>
    <w:rsid w:val="00D55200"/>
    <w:rsid w:val="00D564D6"/>
    <w:rsid w:val="00D578B1"/>
    <w:rsid w:val="00D6072D"/>
    <w:rsid w:val="00D60FC5"/>
    <w:rsid w:val="00D612BF"/>
    <w:rsid w:val="00D621AC"/>
    <w:rsid w:val="00D62C74"/>
    <w:rsid w:val="00D62F2E"/>
    <w:rsid w:val="00D63B0A"/>
    <w:rsid w:val="00D644F0"/>
    <w:rsid w:val="00D65386"/>
    <w:rsid w:val="00D67624"/>
    <w:rsid w:val="00D679C1"/>
    <w:rsid w:val="00D67D4D"/>
    <w:rsid w:val="00D7059A"/>
    <w:rsid w:val="00D7295A"/>
    <w:rsid w:val="00D739B0"/>
    <w:rsid w:val="00D756BD"/>
    <w:rsid w:val="00D765DC"/>
    <w:rsid w:val="00D81F04"/>
    <w:rsid w:val="00D82E4E"/>
    <w:rsid w:val="00D84E44"/>
    <w:rsid w:val="00D8673D"/>
    <w:rsid w:val="00D87985"/>
    <w:rsid w:val="00D90D6E"/>
    <w:rsid w:val="00D91EAE"/>
    <w:rsid w:val="00D92144"/>
    <w:rsid w:val="00D93BE9"/>
    <w:rsid w:val="00DA0259"/>
    <w:rsid w:val="00DA0C7D"/>
    <w:rsid w:val="00DA0F86"/>
    <w:rsid w:val="00DA2DE7"/>
    <w:rsid w:val="00DA4AE7"/>
    <w:rsid w:val="00DA4F3A"/>
    <w:rsid w:val="00DA538B"/>
    <w:rsid w:val="00DA7B9E"/>
    <w:rsid w:val="00DB0FBA"/>
    <w:rsid w:val="00DB3579"/>
    <w:rsid w:val="00DB441E"/>
    <w:rsid w:val="00DB4A34"/>
    <w:rsid w:val="00DB6211"/>
    <w:rsid w:val="00DC4B4C"/>
    <w:rsid w:val="00DC4BF7"/>
    <w:rsid w:val="00DD04FD"/>
    <w:rsid w:val="00DD22E8"/>
    <w:rsid w:val="00DD37F5"/>
    <w:rsid w:val="00DD38A1"/>
    <w:rsid w:val="00DD5079"/>
    <w:rsid w:val="00DD5598"/>
    <w:rsid w:val="00DD6764"/>
    <w:rsid w:val="00DE19EF"/>
    <w:rsid w:val="00DE1C96"/>
    <w:rsid w:val="00DE3508"/>
    <w:rsid w:val="00DE3D82"/>
    <w:rsid w:val="00DE43C5"/>
    <w:rsid w:val="00DE4932"/>
    <w:rsid w:val="00DE7220"/>
    <w:rsid w:val="00DF030B"/>
    <w:rsid w:val="00DF2066"/>
    <w:rsid w:val="00DF37EF"/>
    <w:rsid w:val="00DF6BA9"/>
    <w:rsid w:val="00DF7512"/>
    <w:rsid w:val="00DF7972"/>
    <w:rsid w:val="00E0198D"/>
    <w:rsid w:val="00E042C2"/>
    <w:rsid w:val="00E0652B"/>
    <w:rsid w:val="00E077C6"/>
    <w:rsid w:val="00E1239A"/>
    <w:rsid w:val="00E131F3"/>
    <w:rsid w:val="00E14851"/>
    <w:rsid w:val="00E20573"/>
    <w:rsid w:val="00E21DFC"/>
    <w:rsid w:val="00E2205B"/>
    <w:rsid w:val="00E22238"/>
    <w:rsid w:val="00E22E1D"/>
    <w:rsid w:val="00E24D76"/>
    <w:rsid w:val="00E261FF"/>
    <w:rsid w:val="00E26C4B"/>
    <w:rsid w:val="00E301A2"/>
    <w:rsid w:val="00E301CF"/>
    <w:rsid w:val="00E30AF9"/>
    <w:rsid w:val="00E320EA"/>
    <w:rsid w:val="00E333AC"/>
    <w:rsid w:val="00E33849"/>
    <w:rsid w:val="00E33D77"/>
    <w:rsid w:val="00E365BF"/>
    <w:rsid w:val="00E378B8"/>
    <w:rsid w:val="00E37C2D"/>
    <w:rsid w:val="00E40BAD"/>
    <w:rsid w:val="00E40CF7"/>
    <w:rsid w:val="00E42006"/>
    <w:rsid w:val="00E424DA"/>
    <w:rsid w:val="00E42513"/>
    <w:rsid w:val="00E42640"/>
    <w:rsid w:val="00E443A6"/>
    <w:rsid w:val="00E45F2F"/>
    <w:rsid w:val="00E50FD9"/>
    <w:rsid w:val="00E535DD"/>
    <w:rsid w:val="00E55F02"/>
    <w:rsid w:val="00E6042B"/>
    <w:rsid w:val="00E63819"/>
    <w:rsid w:val="00E63E66"/>
    <w:rsid w:val="00E64F29"/>
    <w:rsid w:val="00E652A4"/>
    <w:rsid w:val="00E66D7B"/>
    <w:rsid w:val="00E67305"/>
    <w:rsid w:val="00E673FB"/>
    <w:rsid w:val="00E67F77"/>
    <w:rsid w:val="00E7051D"/>
    <w:rsid w:val="00E71F91"/>
    <w:rsid w:val="00E743B1"/>
    <w:rsid w:val="00E750DE"/>
    <w:rsid w:val="00E77CCF"/>
    <w:rsid w:val="00E77F98"/>
    <w:rsid w:val="00E8522C"/>
    <w:rsid w:val="00E877B1"/>
    <w:rsid w:val="00E87EC1"/>
    <w:rsid w:val="00E90BC0"/>
    <w:rsid w:val="00E953FA"/>
    <w:rsid w:val="00EA05E4"/>
    <w:rsid w:val="00EA1D51"/>
    <w:rsid w:val="00EA1DC8"/>
    <w:rsid w:val="00EA2628"/>
    <w:rsid w:val="00EA2704"/>
    <w:rsid w:val="00EA2E75"/>
    <w:rsid w:val="00EA3812"/>
    <w:rsid w:val="00EA5461"/>
    <w:rsid w:val="00EA65D5"/>
    <w:rsid w:val="00EA69F9"/>
    <w:rsid w:val="00EB07DD"/>
    <w:rsid w:val="00EB2917"/>
    <w:rsid w:val="00EB3127"/>
    <w:rsid w:val="00EB3F02"/>
    <w:rsid w:val="00EB5406"/>
    <w:rsid w:val="00EB5943"/>
    <w:rsid w:val="00EB5CCB"/>
    <w:rsid w:val="00EB707E"/>
    <w:rsid w:val="00EB745A"/>
    <w:rsid w:val="00EC23A1"/>
    <w:rsid w:val="00EC3001"/>
    <w:rsid w:val="00EC3630"/>
    <w:rsid w:val="00EC4655"/>
    <w:rsid w:val="00EC4FA0"/>
    <w:rsid w:val="00EC5C76"/>
    <w:rsid w:val="00EC5CE8"/>
    <w:rsid w:val="00EC7F7C"/>
    <w:rsid w:val="00ED3DEC"/>
    <w:rsid w:val="00ED4889"/>
    <w:rsid w:val="00ED4E40"/>
    <w:rsid w:val="00ED5A25"/>
    <w:rsid w:val="00ED667A"/>
    <w:rsid w:val="00ED6CCE"/>
    <w:rsid w:val="00ED70CA"/>
    <w:rsid w:val="00ED724D"/>
    <w:rsid w:val="00ED7CB0"/>
    <w:rsid w:val="00EE2873"/>
    <w:rsid w:val="00EE3F08"/>
    <w:rsid w:val="00EE60DD"/>
    <w:rsid w:val="00EE679E"/>
    <w:rsid w:val="00EE6DE5"/>
    <w:rsid w:val="00EE766C"/>
    <w:rsid w:val="00EE7A72"/>
    <w:rsid w:val="00EF06F2"/>
    <w:rsid w:val="00EF18DC"/>
    <w:rsid w:val="00EF1968"/>
    <w:rsid w:val="00EF26A3"/>
    <w:rsid w:val="00EF4AA7"/>
    <w:rsid w:val="00EF6A4A"/>
    <w:rsid w:val="00EF6D6C"/>
    <w:rsid w:val="00EF6E10"/>
    <w:rsid w:val="00F00052"/>
    <w:rsid w:val="00F002DC"/>
    <w:rsid w:val="00F00BC1"/>
    <w:rsid w:val="00F042F1"/>
    <w:rsid w:val="00F06CF1"/>
    <w:rsid w:val="00F07B8A"/>
    <w:rsid w:val="00F101D4"/>
    <w:rsid w:val="00F10D9C"/>
    <w:rsid w:val="00F12F0D"/>
    <w:rsid w:val="00F130D1"/>
    <w:rsid w:val="00F16E8F"/>
    <w:rsid w:val="00F170F5"/>
    <w:rsid w:val="00F17CD1"/>
    <w:rsid w:val="00F21B6E"/>
    <w:rsid w:val="00F2311F"/>
    <w:rsid w:val="00F27A79"/>
    <w:rsid w:val="00F30351"/>
    <w:rsid w:val="00F30FF8"/>
    <w:rsid w:val="00F3190A"/>
    <w:rsid w:val="00F32A1C"/>
    <w:rsid w:val="00F346A8"/>
    <w:rsid w:val="00F360DF"/>
    <w:rsid w:val="00F3769C"/>
    <w:rsid w:val="00F4039E"/>
    <w:rsid w:val="00F45005"/>
    <w:rsid w:val="00F46034"/>
    <w:rsid w:val="00F4675E"/>
    <w:rsid w:val="00F52F77"/>
    <w:rsid w:val="00F53BEA"/>
    <w:rsid w:val="00F546CC"/>
    <w:rsid w:val="00F57912"/>
    <w:rsid w:val="00F63036"/>
    <w:rsid w:val="00F7020B"/>
    <w:rsid w:val="00F71240"/>
    <w:rsid w:val="00F71FD3"/>
    <w:rsid w:val="00F759D9"/>
    <w:rsid w:val="00F763B9"/>
    <w:rsid w:val="00F76C6F"/>
    <w:rsid w:val="00F80782"/>
    <w:rsid w:val="00F81F45"/>
    <w:rsid w:val="00F832F2"/>
    <w:rsid w:val="00F83755"/>
    <w:rsid w:val="00F840DE"/>
    <w:rsid w:val="00F863C2"/>
    <w:rsid w:val="00F865EC"/>
    <w:rsid w:val="00F925D1"/>
    <w:rsid w:val="00F95C46"/>
    <w:rsid w:val="00F96C69"/>
    <w:rsid w:val="00F9794B"/>
    <w:rsid w:val="00F97D7F"/>
    <w:rsid w:val="00FA0C45"/>
    <w:rsid w:val="00FA0CCB"/>
    <w:rsid w:val="00FA13FC"/>
    <w:rsid w:val="00FA550C"/>
    <w:rsid w:val="00FB178D"/>
    <w:rsid w:val="00FB1B99"/>
    <w:rsid w:val="00FB36EE"/>
    <w:rsid w:val="00FB7CC5"/>
    <w:rsid w:val="00FC0B47"/>
    <w:rsid w:val="00FC0F79"/>
    <w:rsid w:val="00FC1B29"/>
    <w:rsid w:val="00FC319E"/>
    <w:rsid w:val="00FC3F5F"/>
    <w:rsid w:val="00FC5B34"/>
    <w:rsid w:val="00FC7E90"/>
    <w:rsid w:val="00FD035F"/>
    <w:rsid w:val="00FD2E05"/>
    <w:rsid w:val="00FD36DF"/>
    <w:rsid w:val="00FD44F9"/>
    <w:rsid w:val="00FD6DB4"/>
    <w:rsid w:val="00FE0667"/>
    <w:rsid w:val="00FE5436"/>
    <w:rsid w:val="00FF06A5"/>
    <w:rsid w:val="00FF1548"/>
    <w:rsid w:val="00FF1DDD"/>
    <w:rsid w:val="00FF32F4"/>
    <w:rsid w:val="00FF52E8"/>
    <w:rsid w:val="00FF679E"/>
    <w:rsid w:val="00FF700B"/>
    <w:rsid w:val="00FF7856"/>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01D81"/>
  <w15:chartTrackingRefBased/>
  <w15:docId w15:val="{C172FB1C-3015-458B-8B2A-4D6CBCF4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91F"/>
  </w:style>
  <w:style w:type="paragraph" w:styleId="Ttulo2">
    <w:name w:val="heading 2"/>
    <w:basedOn w:val="Normal"/>
    <w:link w:val="Ttulo2Car"/>
    <w:uiPriority w:val="9"/>
    <w:qFormat/>
    <w:rsid w:val="00CA71D2"/>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CA71D2"/>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CA71D2"/>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216F"/>
    <w:pPr>
      <w:ind w:left="720"/>
      <w:contextualSpacing/>
    </w:pPr>
  </w:style>
  <w:style w:type="character" w:styleId="Hipervnculo">
    <w:name w:val="Hyperlink"/>
    <w:basedOn w:val="Fuentedeprrafopredeter"/>
    <w:uiPriority w:val="99"/>
    <w:unhideWhenUsed/>
    <w:rsid w:val="00CB6AE2"/>
    <w:rPr>
      <w:color w:val="0000FF"/>
      <w:u w:val="single"/>
    </w:rPr>
  </w:style>
  <w:style w:type="character" w:customStyle="1" w:styleId="Mencinsinresolver1">
    <w:name w:val="Mención sin resolver1"/>
    <w:basedOn w:val="Fuentedeprrafopredeter"/>
    <w:uiPriority w:val="99"/>
    <w:semiHidden/>
    <w:unhideWhenUsed/>
    <w:rsid w:val="00731482"/>
    <w:rPr>
      <w:color w:val="605E5C"/>
      <w:shd w:val="clear" w:color="auto" w:fill="E1DFDD"/>
    </w:rPr>
  </w:style>
  <w:style w:type="character" w:styleId="Refdecomentario">
    <w:name w:val="annotation reference"/>
    <w:basedOn w:val="Fuentedeprrafopredeter"/>
    <w:uiPriority w:val="99"/>
    <w:semiHidden/>
    <w:unhideWhenUsed/>
    <w:rsid w:val="00E424DA"/>
    <w:rPr>
      <w:sz w:val="16"/>
      <w:szCs w:val="16"/>
    </w:rPr>
  </w:style>
  <w:style w:type="paragraph" w:styleId="Textocomentario">
    <w:name w:val="annotation text"/>
    <w:basedOn w:val="Normal"/>
    <w:link w:val="TextocomentarioCar"/>
    <w:uiPriority w:val="99"/>
    <w:unhideWhenUsed/>
    <w:rsid w:val="00E424DA"/>
    <w:pPr>
      <w:spacing w:line="240" w:lineRule="auto"/>
    </w:pPr>
    <w:rPr>
      <w:sz w:val="20"/>
      <w:szCs w:val="20"/>
    </w:rPr>
  </w:style>
  <w:style w:type="character" w:customStyle="1" w:styleId="TextocomentarioCar">
    <w:name w:val="Texto comentario Car"/>
    <w:basedOn w:val="Fuentedeprrafopredeter"/>
    <w:link w:val="Textocomentario"/>
    <w:uiPriority w:val="99"/>
    <w:rsid w:val="00E424DA"/>
    <w:rPr>
      <w:sz w:val="20"/>
      <w:szCs w:val="20"/>
    </w:rPr>
  </w:style>
  <w:style w:type="paragraph" w:styleId="Asuntodelcomentario">
    <w:name w:val="annotation subject"/>
    <w:basedOn w:val="Textocomentario"/>
    <w:next w:val="Textocomentario"/>
    <w:link w:val="AsuntodelcomentarioCar"/>
    <w:uiPriority w:val="99"/>
    <w:semiHidden/>
    <w:unhideWhenUsed/>
    <w:rsid w:val="00E424DA"/>
    <w:rPr>
      <w:b/>
      <w:bCs/>
    </w:rPr>
  </w:style>
  <w:style w:type="character" w:customStyle="1" w:styleId="AsuntodelcomentarioCar">
    <w:name w:val="Asunto del comentario Car"/>
    <w:basedOn w:val="TextocomentarioCar"/>
    <w:link w:val="Asuntodelcomentario"/>
    <w:uiPriority w:val="99"/>
    <w:semiHidden/>
    <w:rsid w:val="00E424DA"/>
    <w:rPr>
      <w:b/>
      <w:bCs/>
      <w:sz w:val="20"/>
      <w:szCs w:val="20"/>
    </w:rPr>
  </w:style>
  <w:style w:type="character" w:customStyle="1" w:styleId="Ttulo2Car">
    <w:name w:val="Título 2 Car"/>
    <w:basedOn w:val="Fuentedeprrafopredeter"/>
    <w:link w:val="Ttulo2"/>
    <w:uiPriority w:val="9"/>
    <w:rsid w:val="00CA71D2"/>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CA71D2"/>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CA71D2"/>
    <w:rPr>
      <w:rFonts w:ascii="Times New Roman" w:eastAsia="Times New Roman" w:hAnsi="Times New Roman" w:cs="Times New Roman"/>
      <w:b/>
      <w:bCs/>
      <w:sz w:val="24"/>
      <w:szCs w:val="24"/>
      <w:lang w:eastAsia="es-MX"/>
    </w:rPr>
  </w:style>
  <w:style w:type="character" w:styleId="nfasis">
    <w:name w:val="Emphasis"/>
    <w:basedOn w:val="Fuentedeprrafopredeter"/>
    <w:uiPriority w:val="20"/>
    <w:qFormat/>
    <w:rsid w:val="00CA71D2"/>
    <w:rPr>
      <w:i/>
      <w:iCs/>
    </w:rPr>
  </w:style>
  <w:style w:type="paragraph" w:customStyle="1" w:styleId="categoria">
    <w:name w:val="categoria"/>
    <w:basedOn w:val="Normal"/>
    <w:rsid w:val="00CA71D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tulo1">
    <w:name w:val="Título1"/>
    <w:basedOn w:val="Normal"/>
    <w:rsid w:val="00CA71D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uthor">
    <w:name w:val="author"/>
    <w:basedOn w:val="Normal"/>
    <w:rsid w:val="00CA71D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uthor-name">
    <w:name w:val="author-name"/>
    <w:basedOn w:val="Fuentedeprrafopredeter"/>
    <w:rsid w:val="00CA71D2"/>
  </w:style>
  <w:style w:type="paragraph" w:styleId="NormalWeb">
    <w:name w:val="Normal (Web)"/>
    <w:basedOn w:val="Normal"/>
    <w:uiPriority w:val="99"/>
    <w:semiHidden/>
    <w:unhideWhenUsed/>
    <w:rsid w:val="004568B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mbre">
    <w:name w:val="nombre"/>
    <w:basedOn w:val="Fuentedeprrafopredeter"/>
    <w:rsid w:val="00FB36EE"/>
  </w:style>
  <w:style w:type="character" w:customStyle="1" w:styleId="apellidos">
    <w:name w:val="apellidos"/>
    <w:basedOn w:val="Fuentedeprrafopredeter"/>
    <w:rsid w:val="00FB36EE"/>
  </w:style>
  <w:style w:type="character" w:customStyle="1" w:styleId="email">
    <w:name w:val="email"/>
    <w:basedOn w:val="Fuentedeprrafopredeter"/>
    <w:rsid w:val="00FB36EE"/>
  </w:style>
  <w:style w:type="character" w:customStyle="1" w:styleId="institucion">
    <w:name w:val="institucion"/>
    <w:basedOn w:val="Fuentedeprrafopredeter"/>
    <w:rsid w:val="00FB36EE"/>
  </w:style>
  <w:style w:type="character" w:customStyle="1" w:styleId="pais">
    <w:name w:val="pais"/>
    <w:basedOn w:val="Fuentedeprrafopredeter"/>
    <w:rsid w:val="00FB36EE"/>
  </w:style>
  <w:style w:type="paragraph" w:customStyle="1" w:styleId="art-title">
    <w:name w:val="art-title"/>
    <w:basedOn w:val="Normal"/>
    <w:rsid w:val="00FB36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umero">
    <w:name w:val="numero"/>
    <w:basedOn w:val="Normal"/>
    <w:rsid w:val="00FB36E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journal">
    <w:name w:val="journal"/>
    <w:basedOn w:val="Fuentedeprrafopredeter"/>
    <w:rsid w:val="00FB36EE"/>
  </w:style>
  <w:style w:type="character" w:customStyle="1" w:styleId="issue">
    <w:name w:val="issue"/>
    <w:basedOn w:val="Fuentedeprrafopredeter"/>
    <w:rsid w:val="00FB36EE"/>
  </w:style>
  <w:style w:type="character" w:customStyle="1" w:styleId="volume">
    <w:name w:val="volume"/>
    <w:basedOn w:val="Fuentedeprrafopredeter"/>
    <w:rsid w:val="00FB36EE"/>
  </w:style>
  <w:style w:type="character" w:customStyle="1" w:styleId="year">
    <w:name w:val="year"/>
    <w:basedOn w:val="Fuentedeprrafopredeter"/>
    <w:rsid w:val="00FB36EE"/>
  </w:style>
  <w:style w:type="paragraph" w:customStyle="1" w:styleId="publisher">
    <w:name w:val="publisher"/>
    <w:basedOn w:val="Normal"/>
    <w:rsid w:val="00FB36E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italica">
    <w:name w:val="italica"/>
    <w:basedOn w:val="Fuentedeprrafopredeter"/>
    <w:rsid w:val="009B106B"/>
  </w:style>
  <w:style w:type="character" w:customStyle="1" w:styleId="markedcontent">
    <w:name w:val="markedcontent"/>
    <w:basedOn w:val="Fuentedeprrafopredeter"/>
    <w:rsid w:val="00810441"/>
  </w:style>
  <w:style w:type="character" w:customStyle="1" w:styleId="Mencinsinresolver2">
    <w:name w:val="Mención sin resolver2"/>
    <w:basedOn w:val="Fuentedeprrafopredeter"/>
    <w:uiPriority w:val="99"/>
    <w:semiHidden/>
    <w:unhideWhenUsed/>
    <w:rsid w:val="00B8487C"/>
    <w:rPr>
      <w:color w:val="605E5C"/>
      <w:shd w:val="clear" w:color="auto" w:fill="E1DFDD"/>
    </w:rPr>
  </w:style>
  <w:style w:type="paragraph" w:styleId="Revisin">
    <w:name w:val="Revision"/>
    <w:hidden/>
    <w:uiPriority w:val="99"/>
    <w:semiHidden/>
    <w:rsid w:val="00301BD8"/>
    <w:pPr>
      <w:spacing w:after="0" w:line="240" w:lineRule="auto"/>
    </w:pPr>
  </w:style>
  <w:style w:type="character" w:styleId="Fuerte">
    <w:name w:val="Strong"/>
    <w:basedOn w:val="Fuentedeprrafopredeter"/>
    <w:uiPriority w:val="22"/>
    <w:qFormat/>
    <w:rsid w:val="00D24000"/>
    <w:rPr>
      <w:b/>
      <w:bCs/>
    </w:rPr>
  </w:style>
  <w:style w:type="character" w:styleId="Mencinsinresolver">
    <w:name w:val="Unresolved Mention"/>
    <w:basedOn w:val="Fuentedeprrafopredeter"/>
    <w:uiPriority w:val="99"/>
    <w:semiHidden/>
    <w:unhideWhenUsed/>
    <w:rsid w:val="00D52884"/>
    <w:rPr>
      <w:color w:val="605E5C"/>
      <w:shd w:val="clear" w:color="auto" w:fill="E1DFDD"/>
    </w:rPr>
  </w:style>
  <w:style w:type="paragraph" w:styleId="Encabezado">
    <w:name w:val="header"/>
    <w:basedOn w:val="Normal"/>
    <w:link w:val="EncabezadoCar"/>
    <w:uiPriority w:val="99"/>
    <w:unhideWhenUsed/>
    <w:rsid w:val="005512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1269"/>
  </w:style>
  <w:style w:type="paragraph" w:styleId="Piedepgina">
    <w:name w:val="footer"/>
    <w:basedOn w:val="Normal"/>
    <w:link w:val="PiedepginaCar"/>
    <w:uiPriority w:val="99"/>
    <w:unhideWhenUsed/>
    <w:rsid w:val="005512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1269"/>
  </w:style>
  <w:style w:type="character" w:styleId="Hipervnculovisitado">
    <w:name w:val="FollowedHyperlink"/>
    <w:basedOn w:val="Fuentedeprrafopredeter"/>
    <w:uiPriority w:val="99"/>
    <w:semiHidden/>
    <w:unhideWhenUsed/>
    <w:rsid w:val="0064298A"/>
    <w:rPr>
      <w:color w:val="954F72" w:themeColor="followedHyperlink"/>
      <w:u w:val="single"/>
    </w:rPr>
  </w:style>
  <w:style w:type="table" w:styleId="Tablaconcuadrcula">
    <w:name w:val="Table Grid"/>
    <w:basedOn w:val="Tablanormal"/>
    <w:uiPriority w:val="39"/>
    <w:rsid w:val="00FA0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125B8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25B8B"/>
    <w:rPr>
      <w:sz w:val="20"/>
      <w:szCs w:val="20"/>
    </w:rPr>
  </w:style>
  <w:style w:type="character" w:styleId="Refdenotaalpie">
    <w:name w:val="footnote reference"/>
    <w:basedOn w:val="Fuentedeprrafopredeter"/>
    <w:uiPriority w:val="99"/>
    <w:semiHidden/>
    <w:unhideWhenUsed/>
    <w:rsid w:val="00125B8B"/>
    <w:rPr>
      <w:vertAlign w:val="superscript"/>
    </w:rPr>
  </w:style>
  <w:style w:type="paragraph" w:styleId="Textodeglobo">
    <w:name w:val="Balloon Text"/>
    <w:basedOn w:val="Normal"/>
    <w:link w:val="TextodegloboCar"/>
    <w:uiPriority w:val="99"/>
    <w:semiHidden/>
    <w:unhideWhenUsed/>
    <w:rsid w:val="002C50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50B4"/>
    <w:rPr>
      <w:rFonts w:ascii="Segoe UI" w:hAnsi="Segoe UI" w:cs="Segoe UI"/>
      <w:sz w:val="18"/>
      <w:szCs w:val="18"/>
    </w:rPr>
  </w:style>
  <w:style w:type="paragraph" w:styleId="Textoindependiente">
    <w:name w:val="Body Text"/>
    <w:basedOn w:val="Normal"/>
    <w:link w:val="TextoindependienteCar"/>
    <w:uiPriority w:val="1"/>
    <w:qFormat/>
    <w:rsid w:val="00103BF2"/>
    <w:pPr>
      <w:widowControl w:val="0"/>
      <w:autoSpaceDE w:val="0"/>
      <w:autoSpaceDN w:val="0"/>
      <w:spacing w:after="0" w:line="240" w:lineRule="auto"/>
      <w:ind w:left="402"/>
      <w:jc w:val="both"/>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103BF2"/>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E7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rsid w:val="00E77F98"/>
    <w:rPr>
      <w:rFonts w:ascii="Courier New" w:hAnsi="Courier New" w:cs="Courier New"/>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3389">
      <w:bodyDiv w:val="1"/>
      <w:marLeft w:val="0"/>
      <w:marRight w:val="0"/>
      <w:marTop w:val="0"/>
      <w:marBottom w:val="0"/>
      <w:divBdr>
        <w:top w:val="none" w:sz="0" w:space="0" w:color="auto"/>
        <w:left w:val="none" w:sz="0" w:space="0" w:color="auto"/>
        <w:bottom w:val="none" w:sz="0" w:space="0" w:color="auto"/>
        <w:right w:val="none" w:sz="0" w:space="0" w:color="auto"/>
      </w:divBdr>
    </w:div>
    <w:div w:id="512300526">
      <w:bodyDiv w:val="1"/>
      <w:marLeft w:val="0"/>
      <w:marRight w:val="0"/>
      <w:marTop w:val="0"/>
      <w:marBottom w:val="0"/>
      <w:divBdr>
        <w:top w:val="none" w:sz="0" w:space="0" w:color="auto"/>
        <w:left w:val="none" w:sz="0" w:space="0" w:color="auto"/>
        <w:bottom w:val="none" w:sz="0" w:space="0" w:color="auto"/>
        <w:right w:val="none" w:sz="0" w:space="0" w:color="auto"/>
      </w:divBdr>
    </w:div>
    <w:div w:id="966548756">
      <w:bodyDiv w:val="1"/>
      <w:marLeft w:val="0"/>
      <w:marRight w:val="0"/>
      <w:marTop w:val="0"/>
      <w:marBottom w:val="0"/>
      <w:divBdr>
        <w:top w:val="none" w:sz="0" w:space="0" w:color="auto"/>
        <w:left w:val="none" w:sz="0" w:space="0" w:color="auto"/>
        <w:bottom w:val="none" w:sz="0" w:space="0" w:color="auto"/>
        <w:right w:val="none" w:sz="0" w:space="0" w:color="auto"/>
      </w:divBdr>
      <w:divsChild>
        <w:div w:id="1689408422">
          <w:marLeft w:val="0"/>
          <w:marRight w:val="0"/>
          <w:marTop w:val="0"/>
          <w:marBottom w:val="0"/>
          <w:divBdr>
            <w:top w:val="none" w:sz="0" w:space="0" w:color="auto"/>
            <w:left w:val="none" w:sz="0" w:space="0" w:color="auto"/>
            <w:bottom w:val="none" w:sz="0" w:space="0" w:color="auto"/>
            <w:right w:val="none" w:sz="0" w:space="0" w:color="auto"/>
          </w:divBdr>
          <w:divsChild>
            <w:div w:id="1922642980">
              <w:marLeft w:val="0"/>
              <w:marRight w:val="0"/>
              <w:marTop w:val="0"/>
              <w:marBottom w:val="0"/>
              <w:divBdr>
                <w:top w:val="none" w:sz="0" w:space="0" w:color="auto"/>
                <w:left w:val="none" w:sz="0" w:space="0" w:color="auto"/>
                <w:bottom w:val="none" w:sz="0" w:space="0" w:color="auto"/>
                <w:right w:val="none" w:sz="0" w:space="0" w:color="auto"/>
              </w:divBdr>
              <w:divsChild>
                <w:div w:id="1474172213">
                  <w:marLeft w:val="0"/>
                  <w:marRight w:val="0"/>
                  <w:marTop w:val="0"/>
                  <w:marBottom w:val="0"/>
                  <w:divBdr>
                    <w:top w:val="none" w:sz="0" w:space="0" w:color="auto"/>
                    <w:left w:val="none" w:sz="0" w:space="0" w:color="auto"/>
                    <w:bottom w:val="none" w:sz="0" w:space="0" w:color="auto"/>
                    <w:right w:val="none" w:sz="0" w:space="0" w:color="auto"/>
                  </w:divBdr>
                </w:div>
                <w:div w:id="295068755">
                  <w:marLeft w:val="0"/>
                  <w:marRight w:val="0"/>
                  <w:marTop w:val="0"/>
                  <w:marBottom w:val="0"/>
                  <w:divBdr>
                    <w:top w:val="none" w:sz="0" w:space="0" w:color="auto"/>
                    <w:left w:val="none" w:sz="0" w:space="0" w:color="auto"/>
                    <w:bottom w:val="none" w:sz="0" w:space="0" w:color="auto"/>
                    <w:right w:val="none" w:sz="0" w:space="0" w:color="auto"/>
                  </w:divBdr>
                </w:div>
              </w:divsChild>
            </w:div>
            <w:div w:id="297802546">
              <w:marLeft w:val="0"/>
              <w:marRight w:val="0"/>
              <w:marTop w:val="0"/>
              <w:marBottom w:val="0"/>
              <w:divBdr>
                <w:top w:val="none" w:sz="0" w:space="0" w:color="auto"/>
                <w:left w:val="none" w:sz="0" w:space="0" w:color="auto"/>
                <w:bottom w:val="none" w:sz="0" w:space="0" w:color="auto"/>
                <w:right w:val="none" w:sz="0" w:space="0" w:color="auto"/>
              </w:divBdr>
              <w:divsChild>
                <w:div w:id="1421683416">
                  <w:marLeft w:val="0"/>
                  <w:marRight w:val="0"/>
                  <w:marTop w:val="0"/>
                  <w:marBottom w:val="0"/>
                  <w:divBdr>
                    <w:top w:val="none" w:sz="0" w:space="0" w:color="auto"/>
                    <w:left w:val="none" w:sz="0" w:space="0" w:color="auto"/>
                    <w:bottom w:val="none" w:sz="0" w:space="0" w:color="auto"/>
                    <w:right w:val="none" w:sz="0" w:space="0" w:color="auto"/>
                  </w:divBdr>
                </w:div>
                <w:div w:id="65360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593084">
          <w:marLeft w:val="0"/>
          <w:marRight w:val="0"/>
          <w:marTop w:val="0"/>
          <w:marBottom w:val="0"/>
          <w:divBdr>
            <w:top w:val="none" w:sz="0" w:space="0" w:color="auto"/>
            <w:left w:val="none" w:sz="0" w:space="0" w:color="auto"/>
            <w:bottom w:val="none" w:sz="0" w:space="0" w:color="auto"/>
            <w:right w:val="none" w:sz="0" w:space="0" w:color="auto"/>
          </w:divBdr>
        </w:div>
      </w:divsChild>
    </w:div>
    <w:div w:id="1050299161">
      <w:bodyDiv w:val="1"/>
      <w:marLeft w:val="0"/>
      <w:marRight w:val="0"/>
      <w:marTop w:val="0"/>
      <w:marBottom w:val="0"/>
      <w:divBdr>
        <w:top w:val="none" w:sz="0" w:space="0" w:color="auto"/>
        <w:left w:val="none" w:sz="0" w:space="0" w:color="auto"/>
        <w:bottom w:val="none" w:sz="0" w:space="0" w:color="auto"/>
        <w:right w:val="none" w:sz="0" w:space="0" w:color="auto"/>
      </w:divBdr>
    </w:div>
    <w:div w:id="1072895491">
      <w:bodyDiv w:val="1"/>
      <w:marLeft w:val="0"/>
      <w:marRight w:val="0"/>
      <w:marTop w:val="0"/>
      <w:marBottom w:val="0"/>
      <w:divBdr>
        <w:top w:val="none" w:sz="0" w:space="0" w:color="auto"/>
        <w:left w:val="none" w:sz="0" w:space="0" w:color="auto"/>
        <w:bottom w:val="none" w:sz="0" w:space="0" w:color="auto"/>
        <w:right w:val="none" w:sz="0" w:space="0" w:color="auto"/>
      </w:divBdr>
      <w:divsChild>
        <w:div w:id="1443303690">
          <w:marLeft w:val="0"/>
          <w:marRight w:val="0"/>
          <w:marTop w:val="0"/>
          <w:marBottom w:val="0"/>
          <w:divBdr>
            <w:top w:val="none" w:sz="0" w:space="0" w:color="auto"/>
            <w:left w:val="none" w:sz="0" w:space="0" w:color="auto"/>
            <w:bottom w:val="none" w:sz="0" w:space="0" w:color="auto"/>
            <w:right w:val="none" w:sz="0" w:space="0" w:color="auto"/>
          </w:divBdr>
          <w:divsChild>
            <w:div w:id="1549300002">
              <w:marLeft w:val="0"/>
              <w:marRight w:val="0"/>
              <w:marTop w:val="0"/>
              <w:marBottom w:val="0"/>
              <w:divBdr>
                <w:top w:val="none" w:sz="0" w:space="0" w:color="auto"/>
                <w:left w:val="none" w:sz="0" w:space="0" w:color="auto"/>
                <w:bottom w:val="none" w:sz="0" w:space="0" w:color="auto"/>
                <w:right w:val="none" w:sz="0" w:space="0" w:color="auto"/>
              </w:divBdr>
              <w:divsChild>
                <w:div w:id="1814638028">
                  <w:marLeft w:val="0"/>
                  <w:marRight w:val="0"/>
                  <w:marTop w:val="0"/>
                  <w:marBottom w:val="0"/>
                  <w:divBdr>
                    <w:top w:val="none" w:sz="0" w:space="0" w:color="auto"/>
                    <w:left w:val="none" w:sz="0" w:space="0" w:color="auto"/>
                    <w:bottom w:val="none" w:sz="0" w:space="0" w:color="auto"/>
                    <w:right w:val="none" w:sz="0" w:space="0" w:color="auto"/>
                  </w:divBdr>
                </w:div>
                <w:div w:id="19495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840230">
      <w:bodyDiv w:val="1"/>
      <w:marLeft w:val="0"/>
      <w:marRight w:val="0"/>
      <w:marTop w:val="0"/>
      <w:marBottom w:val="0"/>
      <w:divBdr>
        <w:top w:val="none" w:sz="0" w:space="0" w:color="auto"/>
        <w:left w:val="none" w:sz="0" w:space="0" w:color="auto"/>
        <w:bottom w:val="none" w:sz="0" w:space="0" w:color="auto"/>
        <w:right w:val="none" w:sz="0" w:space="0" w:color="auto"/>
      </w:divBdr>
    </w:div>
    <w:div w:id="1865553988">
      <w:bodyDiv w:val="1"/>
      <w:marLeft w:val="0"/>
      <w:marRight w:val="0"/>
      <w:marTop w:val="0"/>
      <w:marBottom w:val="0"/>
      <w:divBdr>
        <w:top w:val="none" w:sz="0" w:space="0" w:color="auto"/>
        <w:left w:val="none" w:sz="0" w:space="0" w:color="auto"/>
        <w:bottom w:val="none" w:sz="0" w:space="0" w:color="auto"/>
        <w:right w:val="none" w:sz="0" w:space="0" w:color="auto"/>
      </w:divBdr>
      <w:divsChild>
        <w:div w:id="939989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sionyaccion2030.anuies.mx/Vision_accion2030.pdf" TargetMode="External"/><Relationship Id="rId18" Type="http://schemas.openxmlformats.org/officeDocument/2006/relationships/hyperlink" Target="https://blog.acsendo.com/los-4-pasos-una-gestion-del-cambio-organizacional-efectiva/" TargetMode="External"/><Relationship Id="rId26" Type="http://schemas.openxmlformats.org/officeDocument/2006/relationships/hyperlink" Target="https://www.forbes.com/sites/brucejapsen/2020/07/14/pandemic-turns-physician-job-market-to-dire-from-demand/?sh=51dc19cde9cd" TargetMode="External"/><Relationship Id="rId39" Type="http://schemas.openxmlformats.org/officeDocument/2006/relationships/theme" Target="theme/theme1.xml"/><Relationship Id="rId21" Type="http://schemas.openxmlformats.org/officeDocument/2006/relationships/hyperlink" Target="https://www.folkehogskole.no/en/about" TargetMode="External"/><Relationship Id="rId34" Type="http://schemas.openxmlformats.org/officeDocument/2006/relationships/hyperlink" Target="https://unesdoc.unesco.org/search/N-EXPLORE-071b9414-18cf-451a-9d55-22f1ab99669b" TargetMode="External"/><Relationship Id="rId7" Type="http://schemas.openxmlformats.org/officeDocument/2006/relationships/hyperlink" Target="https://doi.org/10.23913/pag.v11i22.930" TargetMode="External"/><Relationship Id="rId12" Type="http://schemas.openxmlformats.org/officeDocument/2006/relationships/hyperlink" Target="https://unesdoc.unesco.org/ark:/48223/pf0000380071" TargetMode="External"/><Relationship Id="rId17" Type="http://schemas.openxmlformats.org/officeDocument/2006/relationships/hyperlink" Target="https://swisscham.mx/formacion-dual/" TargetMode="External"/><Relationship Id="rId25" Type="http://schemas.openxmlformats.org/officeDocument/2006/relationships/hyperlink" Target="https://nces.ed.gov/programs/coe/indicator/cha/undergrad-enrollment" TargetMode="External"/><Relationship Id="rId33" Type="http://schemas.openxmlformats.org/officeDocument/2006/relationships/hyperlink" Target="https://es.statista.com/temas/6404/la-industria-automotriz-en-mexico/"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dbinvest.org/es/projects/financiamiento-de-finae" TargetMode="External"/><Relationship Id="rId20" Type="http://schemas.openxmlformats.org/officeDocument/2006/relationships/hyperlink" Target="https://www.centroestudioscervantinos.es/sistema-educativo-noruega/" TargetMode="External"/><Relationship Id="rId29" Type="http://schemas.openxmlformats.org/officeDocument/2006/relationships/hyperlink" Target="https://blog.pearsonlatam.com/ingles-para-todos/modelos-educativos-america-latina"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24" Type="http://schemas.openxmlformats.org/officeDocument/2006/relationships/hyperlink" Target="https://www.infofinland.fi/es/education/vocational-education-and-training" TargetMode="External"/><Relationship Id="rId32" Type="http://schemas.openxmlformats.org/officeDocument/2006/relationships/hyperlink" Target="https://enciclopedia.net/modelo-educativo/"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bbc.com/mundo/noticias-america-latina-64819256" TargetMode="External"/><Relationship Id="rId23" Type="http://schemas.openxmlformats.org/officeDocument/2006/relationships/hyperlink" Target="https://www.imsc.es/noticias/modelo-educativo-finlandia/" TargetMode="External"/><Relationship Id="rId28" Type="http://schemas.openxmlformats.org/officeDocument/2006/relationships/hyperlink" Target="https://www.eluniversal.com.mx/opinion/jaime-parada/la-urgente-necesidad-de-invertir-en-ciencia-tecnologia-e-innovacion-para-el-desarrollo-economico-y-social-de-mexico/" TargetMode="External"/><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www.scielo.org.mx/pdf/resu/v45n178/0185-2760-resu-45-178-00097.pdf" TargetMode="External"/><Relationship Id="rId31" Type="http://schemas.openxmlformats.org/officeDocument/2006/relationships/hyperlink" Target="https://web.unican.es/unidades/igualdad/Documents/responsabilidadsocialuniversitaria_UHU.pdf"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www.bancomundial.org/es/country/mexico/overview" TargetMode="External"/><Relationship Id="rId22" Type="http://schemas.openxmlformats.org/officeDocument/2006/relationships/hyperlink" Target="http://hdl.handle.net/10553/20550" TargetMode="External"/><Relationship Id="rId27" Type="http://schemas.openxmlformats.org/officeDocument/2006/relationships/hyperlink" Target="https://www.eleconomista.com.mx/empresas/Que-es-el-nearshoring-20221108-0093.html" TargetMode="External"/><Relationship Id="rId30" Type="http://schemas.openxmlformats.org/officeDocument/2006/relationships/hyperlink" Target="https://blog.pearsonlatam.com/en-el-aula/ventajas-aula-invertida" TargetMode="External"/><Relationship Id="rId35" Type="http://schemas.openxmlformats.org/officeDocument/2006/relationships/hyperlink" Target="https://www.redalyc.org/articulo.oa?id=572260832008" TargetMode="External"/><Relationship Id="rId8" Type="http://schemas.openxmlformats.org/officeDocument/2006/relationships/image" Target="media/image1.pn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11654</Words>
  <Characters>64103</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 ANAID DE LA CRUZ</cp:lastModifiedBy>
  <cp:revision>2</cp:revision>
  <cp:lastPrinted>2024-09-23T23:41:00Z</cp:lastPrinted>
  <dcterms:created xsi:type="dcterms:W3CDTF">2026-03-19T22:50:00Z</dcterms:created>
  <dcterms:modified xsi:type="dcterms:W3CDTF">2026-03-19T22:50:00Z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15362a0fa6eb261c58d71866bb76b00b09088856fa5644883f4b00262e91a775</vt:lpwstr>
  </property>
</Properties>
</file>