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6B" w:rsidRPr="00F104E3" w:rsidRDefault="00927A42" w:rsidP="00F104E3">
      <w:pPr>
        <w:spacing w:after="0"/>
        <w:jc w:val="right"/>
        <w:rPr>
          <w:rFonts w:ascii="Calibri" w:eastAsia="Times New Roman" w:hAnsi="Calibri" w:cs="Calibri"/>
          <w:color w:val="7030A0"/>
          <w:sz w:val="36"/>
          <w:szCs w:val="36"/>
          <w:lang w:val="es-MX" w:eastAsia="es-MX"/>
        </w:rPr>
      </w:pPr>
      <w:r w:rsidRPr="00F104E3">
        <w:rPr>
          <w:rFonts w:ascii="Calibri" w:eastAsia="Times New Roman" w:hAnsi="Calibri" w:cs="Calibri"/>
          <w:color w:val="7030A0"/>
          <w:sz w:val="36"/>
          <w:szCs w:val="36"/>
          <w:lang w:val="es-MX" w:eastAsia="es-MX"/>
        </w:rPr>
        <w:t>Revisión de las condiciones de iluminación de las áreas de trabajo de una carrera de corte ambiental</w:t>
      </w:r>
      <w:r w:rsidR="00D100C4" w:rsidRPr="00F104E3">
        <w:rPr>
          <w:rFonts w:ascii="Calibri" w:eastAsia="Times New Roman" w:hAnsi="Calibri" w:cs="Calibri"/>
          <w:color w:val="7030A0"/>
          <w:sz w:val="36"/>
          <w:szCs w:val="36"/>
          <w:lang w:val="es-MX" w:eastAsia="es-MX"/>
        </w:rPr>
        <w:t xml:space="preserve"> en una institución de educación superior</w:t>
      </w:r>
      <w:r w:rsidRPr="00F104E3">
        <w:rPr>
          <w:rFonts w:ascii="Calibri" w:eastAsia="Times New Roman" w:hAnsi="Calibri" w:cs="Calibri"/>
          <w:color w:val="7030A0"/>
          <w:sz w:val="36"/>
          <w:szCs w:val="36"/>
          <w:lang w:val="es-MX" w:eastAsia="es-MX"/>
        </w:rPr>
        <w:t>.</w:t>
      </w:r>
    </w:p>
    <w:p w:rsidR="008B6389" w:rsidRPr="00F104E3" w:rsidRDefault="008B6389" w:rsidP="00F104E3">
      <w:pPr>
        <w:spacing w:after="0"/>
        <w:jc w:val="right"/>
        <w:rPr>
          <w:rFonts w:ascii="Calibri" w:eastAsia="Times New Roman" w:hAnsi="Calibri" w:cs="Calibri"/>
          <w:color w:val="7030A0"/>
          <w:sz w:val="36"/>
          <w:szCs w:val="36"/>
          <w:lang w:val="es-MX" w:eastAsia="es-MX"/>
        </w:rPr>
      </w:pPr>
    </w:p>
    <w:p w:rsidR="00927A42" w:rsidRPr="00F104E3" w:rsidRDefault="00927A42" w:rsidP="00F104E3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04E3">
        <w:rPr>
          <w:rFonts w:ascii="Calibri" w:eastAsia="Times New Roman" w:hAnsi="Calibri" w:cs="Calibri"/>
          <w:i/>
          <w:color w:val="7030A0"/>
          <w:sz w:val="28"/>
          <w:szCs w:val="36"/>
          <w:lang w:val="es-MX" w:eastAsia="es-MX"/>
        </w:rPr>
        <w:t xml:space="preserve">Review of the lighting conditions of the work areas of an environmental </w:t>
      </w:r>
      <w:r w:rsidR="003D0FA1" w:rsidRPr="00F104E3">
        <w:rPr>
          <w:rFonts w:ascii="Calibri" w:eastAsia="Times New Roman" w:hAnsi="Calibri" w:cs="Calibri"/>
          <w:i/>
          <w:color w:val="7030A0"/>
          <w:sz w:val="28"/>
          <w:szCs w:val="36"/>
          <w:lang w:val="es-MX" w:eastAsia="es-MX"/>
        </w:rPr>
        <w:t>career</w:t>
      </w:r>
      <w:r w:rsidR="00901131" w:rsidRPr="00F104E3">
        <w:rPr>
          <w:rFonts w:ascii="Calibri" w:eastAsia="Times New Roman" w:hAnsi="Calibri" w:cs="Calibri"/>
          <w:i/>
          <w:color w:val="7030A0"/>
          <w:sz w:val="28"/>
          <w:szCs w:val="36"/>
          <w:lang w:val="es-MX" w:eastAsia="es-MX"/>
        </w:rPr>
        <w:t xml:space="preserve"> in </w:t>
      </w:r>
      <w:r w:rsidR="00D93108" w:rsidRPr="00F104E3">
        <w:rPr>
          <w:rFonts w:ascii="Calibri" w:eastAsia="Times New Roman" w:hAnsi="Calibri" w:cs="Calibri"/>
          <w:i/>
          <w:color w:val="7030A0"/>
          <w:sz w:val="28"/>
          <w:szCs w:val="36"/>
          <w:lang w:val="es-MX" w:eastAsia="es-MX"/>
        </w:rPr>
        <w:t>a</w:t>
      </w:r>
      <w:r w:rsidR="00901131" w:rsidRPr="00F104E3">
        <w:rPr>
          <w:rFonts w:ascii="Calibri" w:eastAsia="Times New Roman" w:hAnsi="Calibri" w:cs="Calibri"/>
          <w:i/>
          <w:color w:val="7030A0"/>
          <w:sz w:val="28"/>
          <w:szCs w:val="36"/>
          <w:lang w:val="es-MX" w:eastAsia="es-MX"/>
        </w:rPr>
        <w:t>n institution of higher education</w:t>
      </w:r>
      <w:r w:rsidRPr="00F104E3">
        <w:rPr>
          <w:rFonts w:ascii="Calibri" w:eastAsia="Times New Roman" w:hAnsi="Calibri" w:cs="Calibri"/>
          <w:i/>
          <w:color w:val="7030A0"/>
          <w:sz w:val="28"/>
          <w:szCs w:val="36"/>
          <w:lang w:val="es-MX" w:eastAsia="es-MX"/>
        </w:rPr>
        <w:t>.</w:t>
      </w:r>
    </w:p>
    <w:p w:rsidR="00BB065E" w:rsidRDefault="00BB065E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7A42" w:rsidRPr="00F104E3" w:rsidRDefault="00927A42" w:rsidP="00F104E3">
      <w:pPr>
        <w:spacing w:after="0"/>
        <w:jc w:val="right"/>
        <w:rPr>
          <w:rFonts w:cs="Times New Roman"/>
          <w:b/>
          <w:sz w:val="24"/>
          <w:szCs w:val="24"/>
          <w:lang w:val="es-MX"/>
        </w:rPr>
      </w:pPr>
      <w:bookmarkStart w:id="0" w:name="_GoBack"/>
      <w:r w:rsidRPr="00F104E3">
        <w:rPr>
          <w:rFonts w:cs="Times New Roman"/>
          <w:b/>
          <w:sz w:val="24"/>
          <w:szCs w:val="24"/>
          <w:lang w:val="es-MX"/>
        </w:rPr>
        <w:t xml:space="preserve">Alejandra </w:t>
      </w:r>
      <w:proofErr w:type="spellStart"/>
      <w:r w:rsidRPr="00F104E3">
        <w:rPr>
          <w:rFonts w:cs="Times New Roman"/>
          <w:b/>
          <w:sz w:val="24"/>
          <w:szCs w:val="24"/>
          <w:lang w:val="es-MX"/>
        </w:rPr>
        <w:t>Clemen</w:t>
      </w:r>
      <w:proofErr w:type="spellEnd"/>
      <w:r w:rsidRPr="00F104E3">
        <w:rPr>
          <w:rFonts w:cs="Times New Roman"/>
          <w:b/>
          <w:sz w:val="24"/>
          <w:szCs w:val="24"/>
          <w:lang w:val="es-MX"/>
        </w:rPr>
        <w:t xml:space="preserve"> </w:t>
      </w:r>
      <w:proofErr w:type="spellStart"/>
      <w:r w:rsidRPr="00F104E3">
        <w:rPr>
          <w:rFonts w:cs="Times New Roman"/>
          <w:b/>
          <w:sz w:val="24"/>
          <w:szCs w:val="24"/>
          <w:lang w:val="es-MX"/>
        </w:rPr>
        <w:t>Nochebuena</w:t>
      </w:r>
      <w:proofErr w:type="spellEnd"/>
      <w:r w:rsidRPr="00F104E3">
        <w:rPr>
          <w:rFonts w:cs="Times New Roman"/>
          <w:b/>
          <w:sz w:val="24"/>
          <w:szCs w:val="24"/>
          <w:lang w:val="es-MX"/>
        </w:rPr>
        <w:t xml:space="preserve"> Cruz</w:t>
      </w:r>
      <w:bookmarkEnd w:id="0"/>
    </w:p>
    <w:p w:rsidR="00927A42" w:rsidRPr="00F104E3" w:rsidRDefault="00927A42" w:rsidP="00F104E3">
      <w:pPr>
        <w:spacing w:after="0"/>
        <w:jc w:val="right"/>
        <w:rPr>
          <w:rFonts w:ascii="Calibri" w:eastAsia="Times New Roman" w:hAnsi="Calibri" w:cs="Times New Roman"/>
          <w:sz w:val="24"/>
          <w:szCs w:val="24"/>
          <w:lang w:val="es-ES_tradnl" w:eastAsia="es-ES_tradnl"/>
        </w:rPr>
      </w:pPr>
      <w:r w:rsidRPr="00F104E3">
        <w:rPr>
          <w:rFonts w:ascii="Calibri" w:eastAsia="Times New Roman" w:hAnsi="Calibri" w:cs="Times New Roman"/>
          <w:sz w:val="24"/>
          <w:szCs w:val="24"/>
          <w:lang w:val="es-ES_tradnl" w:eastAsia="es-ES_tradnl"/>
        </w:rPr>
        <w:t>Universidad Tecnológica Gral. Mariano Escobedo</w:t>
      </w:r>
      <w:r w:rsidR="00F104E3">
        <w:rPr>
          <w:rFonts w:ascii="Calibri" w:eastAsia="Times New Roman" w:hAnsi="Calibri" w:cs="Times New Roman"/>
          <w:sz w:val="24"/>
          <w:szCs w:val="24"/>
          <w:lang w:val="es-ES_tradnl" w:eastAsia="es-ES_tradnl"/>
        </w:rPr>
        <w:t>, México</w:t>
      </w:r>
    </w:p>
    <w:p w:rsidR="00927A42" w:rsidRPr="00F104E3" w:rsidRDefault="00F43401" w:rsidP="00F104E3">
      <w:pPr>
        <w:spacing w:after="0"/>
        <w:jc w:val="right"/>
        <w:rPr>
          <w:rFonts w:ascii="Calibri" w:eastAsia="Times New Roman" w:hAnsi="Calibri"/>
          <w:color w:val="FF0000"/>
          <w:sz w:val="24"/>
          <w:szCs w:val="24"/>
          <w:lang w:val="es-ES" w:eastAsia="es-ES"/>
        </w:rPr>
      </w:pPr>
      <w:hyperlink r:id="rId9" w:history="1">
        <w:r w:rsidR="00927A42" w:rsidRPr="00F104E3">
          <w:rPr>
            <w:rFonts w:ascii="Calibri" w:eastAsia="Times New Roman" w:hAnsi="Calibri"/>
            <w:color w:val="FF0000"/>
            <w:sz w:val="24"/>
            <w:szCs w:val="24"/>
            <w:lang w:val="es-ES" w:eastAsia="es-ES"/>
          </w:rPr>
          <w:t>anochebuena@ute.edu.mx</w:t>
        </w:r>
      </w:hyperlink>
    </w:p>
    <w:p w:rsidR="00927A42" w:rsidRPr="00FC52D2" w:rsidRDefault="00927A42" w:rsidP="00927A42">
      <w:pPr>
        <w:pStyle w:val="Prrafodelista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583B67" w:rsidRPr="00F104E3" w:rsidRDefault="00927A42" w:rsidP="00F104E3">
      <w:pPr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_tradnl" w:eastAsia="es-MX"/>
        </w:rPr>
      </w:pPr>
      <w:r w:rsidRPr="00F104E3">
        <w:rPr>
          <w:rFonts w:ascii="Calibri" w:eastAsia="Times New Roman" w:hAnsi="Calibri" w:cs="Calibri"/>
          <w:color w:val="7030A0"/>
          <w:sz w:val="28"/>
          <w:szCs w:val="28"/>
          <w:lang w:val="es-ES_tradnl" w:eastAsia="es-MX"/>
        </w:rPr>
        <w:t>Resumen</w:t>
      </w:r>
    </w:p>
    <w:p w:rsidR="004C372D" w:rsidRPr="00FC52D2" w:rsidRDefault="00821562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El presente</w:t>
      </w:r>
      <w:r w:rsidR="0072762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escrito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muestra la metodología </w:t>
      </w:r>
      <w:r w:rsidR="0072762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usada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y </w:t>
      </w:r>
      <w:r w:rsidR="0072762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los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resultados obtenidos al revisar l</w:t>
      </w:r>
      <w:r w:rsidR="00FC7B67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os niveles de </w:t>
      </w:r>
      <w:r w:rsidR="004C768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iluminación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de las áreas de afluencia de la carrera de Tecnología </w:t>
      </w:r>
      <w:r w:rsidR="004C768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mbiental. Para considerar valores permisibles</w:t>
      </w:r>
      <w:r w:rsidR="0072762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se </w:t>
      </w:r>
      <w:r w:rsidR="0072762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contrastaron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72762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con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lo indicado en la NOM-025-STPS-2008</w:t>
      </w:r>
      <w:r w:rsidR="00C72039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 En base a lo anterior, se analizaron los datos y s</w:t>
      </w:r>
      <w:r w:rsidR="0072762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 concluyó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que</w:t>
      </w:r>
      <w:r w:rsidR="00C72039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principalmente las áreas de laboratorios requieren adecuaciones</w:t>
      </w:r>
      <w:r w:rsidR="00C72039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. Además, el documento considera recomendaciones para dar cumplimiento a lo que indica la norma y </w:t>
      </w:r>
      <w:r w:rsidR="00901131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aborda</w:t>
      </w:r>
      <w:r w:rsidR="00C72039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alternativas para </w:t>
      </w:r>
      <w:r w:rsidR="000B18D7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hacer más </w:t>
      </w:r>
      <w:r w:rsidR="000B18D7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eficient</w:t>
      </w:r>
      <w:r w:rsidR="000B18D7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</w:t>
      </w:r>
      <w:r w:rsidR="00C72039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el uso de la energía eléctrica en iluminación.</w:t>
      </w:r>
    </w:p>
    <w:p w:rsidR="003D0FA1" w:rsidRDefault="003D0FA1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695CCE" w:rsidRPr="00390B2A" w:rsidRDefault="00390B2A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Calibri" w:eastAsia="Times New Roman" w:hAnsi="Calibri" w:cs="Calibri"/>
          <w:color w:val="7030A0"/>
          <w:sz w:val="28"/>
          <w:szCs w:val="28"/>
          <w:lang w:val="es-ES_tradnl" w:eastAsia="es-MX"/>
        </w:rPr>
        <w:t>Palabras clave: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iluminación, estudio </w:t>
      </w:r>
      <w:r w:rsidR="003D0FA1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iluminación, ahorro de energía, edificios educativos, consumo eléctrico.</w:t>
      </w:r>
    </w:p>
    <w:p w:rsidR="00C72039" w:rsidRPr="00FC52D2" w:rsidRDefault="00C72039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927A42" w:rsidRPr="00F104E3" w:rsidRDefault="00927A42" w:rsidP="00F104E3">
      <w:pPr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_tradnl" w:eastAsia="es-MX"/>
        </w:rPr>
      </w:pPr>
      <w:proofErr w:type="spellStart"/>
      <w:r w:rsidRPr="00F104E3">
        <w:rPr>
          <w:rFonts w:ascii="Calibri" w:eastAsia="Times New Roman" w:hAnsi="Calibri" w:cs="Calibri"/>
          <w:color w:val="7030A0"/>
          <w:sz w:val="28"/>
          <w:szCs w:val="28"/>
          <w:lang w:val="es-ES_tradnl" w:eastAsia="es-MX"/>
        </w:rPr>
        <w:t>Abstract</w:t>
      </w:r>
      <w:proofErr w:type="spellEnd"/>
    </w:p>
    <w:p w:rsidR="00F842C4" w:rsidRPr="00D93108" w:rsidRDefault="00C72039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108">
        <w:rPr>
          <w:rFonts w:ascii="Times New Roman" w:hAnsi="Times New Roman" w:cs="Times New Roman"/>
          <w:color w:val="000000" w:themeColor="text1"/>
          <w:sz w:val="24"/>
          <w:szCs w:val="24"/>
        </w:rPr>
        <w:t>The present paper shows the methodology used and the results obtained when review</w:t>
      </w:r>
      <w:r w:rsidR="0025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 the levels of illuminance </w:t>
      </w:r>
      <w:r w:rsidRPr="00D9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areas of affluence of the Environmental Technology career. In order to consider compliance values, they were contrasted with the indicated in the </w:t>
      </w:r>
      <w:r w:rsidR="00F24BC8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D9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exican standard NOM-025-STPS-2008. Based on the above, the data were analyzed and it was concluded that, mainly the laboratory areas require adjustments. </w:t>
      </w:r>
      <w:r w:rsidR="000B18D7" w:rsidRPr="00D9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addition, the </w:t>
      </w:r>
      <w:r w:rsidR="000B18D7" w:rsidRPr="00D931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document considers recommendations to comply with what the standard indicates and </w:t>
      </w:r>
      <w:r w:rsidR="00901131" w:rsidRPr="00F06CDD">
        <w:rPr>
          <w:rFonts w:ascii="Times New Roman" w:hAnsi="Times New Roman" w:cs="Times New Roman"/>
          <w:color w:val="000000" w:themeColor="text1"/>
          <w:sz w:val="24"/>
          <w:szCs w:val="24"/>
        </w:rPr>
        <w:t>approaches</w:t>
      </w:r>
      <w:r w:rsidR="000B18D7" w:rsidRPr="00D9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alternatives to use more efficiently the electric energy in lighting.</w:t>
      </w:r>
    </w:p>
    <w:p w:rsidR="00927A42" w:rsidRPr="00D93108" w:rsidRDefault="00927A42" w:rsidP="008B6389">
      <w:pPr>
        <w:pStyle w:val="Prrafodelista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7A42" w:rsidRDefault="000B18D7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4E3">
        <w:rPr>
          <w:rFonts w:ascii="Calibri" w:eastAsia="Times New Roman" w:hAnsi="Calibri" w:cs="Calibri"/>
          <w:color w:val="7030A0"/>
          <w:sz w:val="28"/>
          <w:szCs w:val="28"/>
          <w:lang w:val="es-ES_tradnl" w:eastAsia="es-MX"/>
        </w:rPr>
        <w:t>Key</w:t>
      </w:r>
      <w:r w:rsidR="00F104E3">
        <w:rPr>
          <w:rFonts w:ascii="Calibri" w:eastAsia="Times New Roman" w:hAnsi="Calibri" w:cs="Calibri"/>
          <w:color w:val="7030A0"/>
          <w:sz w:val="28"/>
          <w:szCs w:val="28"/>
          <w:lang w:val="es-ES_tradnl" w:eastAsia="es-MX"/>
        </w:rPr>
        <w:t xml:space="preserve"> </w:t>
      </w:r>
      <w:proofErr w:type="spellStart"/>
      <w:r w:rsidRPr="00F104E3">
        <w:rPr>
          <w:rFonts w:ascii="Calibri" w:eastAsia="Times New Roman" w:hAnsi="Calibri" w:cs="Calibri"/>
          <w:color w:val="7030A0"/>
          <w:sz w:val="28"/>
          <w:szCs w:val="28"/>
          <w:lang w:val="es-ES_tradnl" w:eastAsia="es-MX"/>
        </w:rPr>
        <w:t>words</w:t>
      </w:r>
      <w:proofErr w:type="spellEnd"/>
      <w:r w:rsidRPr="00F104E3">
        <w:rPr>
          <w:rFonts w:ascii="Calibri" w:eastAsia="Times New Roman" w:hAnsi="Calibri" w:cs="Calibri"/>
          <w:color w:val="7030A0"/>
          <w:sz w:val="28"/>
          <w:szCs w:val="28"/>
          <w:lang w:val="es-ES_tradnl" w:eastAsia="es-MX"/>
        </w:rPr>
        <w:t>:</w:t>
      </w:r>
      <w:r w:rsidRPr="00D9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Lighting, lighting study, energy saving, educational facilities, electricity consumption.</w:t>
      </w:r>
      <w:r w:rsidR="00F104E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F104E3" w:rsidRDefault="00F104E3" w:rsidP="00F104E3">
      <w:pPr>
        <w:pStyle w:val="Sinespaciado"/>
        <w:spacing w:line="360" w:lineRule="auto"/>
        <w:jc w:val="both"/>
        <w:rPr>
          <w:rFonts w:cs="Calibri"/>
        </w:rPr>
      </w:pPr>
      <w:r w:rsidRPr="000E10BE">
        <w:rPr>
          <w:rFonts w:ascii="Times New Roman" w:hAnsi="Times New Roman" w:cs="Times New Roman"/>
          <w:b/>
          <w:color w:val="000000"/>
          <w:sz w:val="24"/>
        </w:rPr>
        <w:t>Fecha Recepción:</w:t>
      </w:r>
      <w:r w:rsidRPr="000E10BE">
        <w:rPr>
          <w:rFonts w:ascii="Times New Roman" w:hAnsi="Times New Roman" w:cs="Times New Roman"/>
          <w:color w:val="000000"/>
          <w:sz w:val="24"/>
        </w:rPr>
        <w:t xml:space="preserve"> Julio 2016     </w:t>
      </w:r>
      <w:r w:rsidRPr="000E10BE">
        <w:rPr>
          <w:rFonts w:ascii="Times New Roman" w:hAnsi="Times New Roman" w:cs="Times New Roman"/>
          <w:b/>
          <w:color w:val="000000"/>
          <w:sz w:val="24"/>
        </w:rPr>
        <w:t>Fecha Aceptación:</w:t>
      </w:r>
      <w:r w:rsidRPr="000E10BE">
        <w:rPr>
          <w:rFonts w:ascii="Times New Roman" w:hAnsi="Times New Roman" w:cs="Times New Roman"/>
          <w:color w:val="000000"/>
          <w:sz w:val="24"/>
        </w:rPr>
        <w:t xml:space="preserve"> Diciembre 2016</w:t>
      </w:r>
      <w:r w:rsidRPr="002F16F1">
        <w:rPr>
          <w:color w:val="000000"/>
        </w:rPr>
        <w:br/>
      </w:r>
      <w:r>
        <w:rPr>
          <w:rFonts w:cs="Calibri"/>
        </w:rPr>
        <w:pict>
          <v:rect id="_x0000_i1025" style="width:0;height:1.5pt" o:hralign="center" o:hrstd="t" o:hr="t" fillcolor="#a0a0a0" stroked="f"/>
        </w:pict>
      </w:r>
    </w:p>
    <w:p w:rsidR="00F104E3" w:rsidRDefault="00F104E3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0FA1" w:rsidRPr="00D93108" w:rsidRDefault="003D0FA1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7A42" w:rsidRPr="00F104E3" w:rsidRDefault="00927A42" w:rsidP="00F104E3">
      <w:pPr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_tradnl" w:eastAsia="es-MX"/>
        </w:rPr>
      </w:pPr>
      <w:r w:rsidRPr="00F104E3">
        <w:rPr>
          <w:rFonts w:ascii="Calibri" w:eastAsia="Times New Roman" w:hAnsi="Calibri" w:cs="Calibri"/>
          <w:color w:val="7030A0"/>
          <w:sz w:val="28"/>
          <w:szCs w:val="28"/>
          <w:lang w:val="es-ES_tradnl" w:eastAsia="es-MX"/>
        </w:rPr>
        <w:t>Introducción</w:t>
      </w:r>
    </w:p>
    <w:p w:rsidR="000F3403" w:rsidRPr="00FC52D2" w:rsidRDefault="003D0FA1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Un número cada vez mayor de Universidades T</w:t>
      </w:r>
      <w:r w:rsidR="00D100C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ecnológicas en México cuenta con el modelo BIS; bilingüe, internacional y sustentable. Bajo este marco, la sustentabilidad puede referirse a la parte social, económica y ambiental. </w:t>
      </w:r>
      <w:r w:rsidR="000F340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El contar con el cumplimiento de las normas oficiales mexicanas en materia ambiental y de seguridad, es una manera de aplicar esa sustentabilidad, al atender esta responsabilidad social con la preocupación del impacto ambiental y económico de nuestras actividades.</w:t>
      </w:r>
    </w:p>
    <w:p w:rsidR="007F29EF" w:rsidRPr="00FC52D2" w:rsidRDefault="007F29EF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0F3403" w:rsidRPr="00FC52D2" w:rsidRDefault="000F3403" w:rsidP="008B6389">
      <w:p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De acuerdo a lo concluido en su estudio</w:t>
      </w:r>
      <w:r w:rsidR="00F06CDD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por </w:t>
      </w:r>
      <w:r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Tonello &amp; Valladares (2015)</w:t>
      </w:r>
      <w:r w:rsidR="00F06C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,</w:t>
      </w:r>
      <w:r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 xml:space="preserve"> el tema de iluminación no es percibida por muchos universitarios como un problema ambiental</w:t>
      </w:r>
      <w:r w:rsidR="00F06C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;</w:t>
      </w:r>
      <w:r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 xml:space="preserve"> sin embargo, el uso de la energía eléctrica para iluminación puede constituir entre un 25-50% del consumo total</w:t>
      </w:r>
      <w:r w:rsidR="007A1AE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 xml:space="preserve"> </w:t>
      </w:r>
      <w:r w:rsidR="00901131" w:rsidRPr="000B18D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(Harvey, 2010, pág. 183)</w:t>
      </w:r>
      <w:r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, y se tiene el dato de que, en el caso de edificios educativos en los Estados Unido</w:t>
      </w:r>
      <w:r w:rsidR="007F29EF"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s, é</w:t>
      </w:r>
      <w:r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s</w:t>
      </w:r>
      <w:r w:rsidR="007F29EF"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t</w:t>
      </w:r>
      <w:r w:rsidR="003D0FA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e</w:t>
      </w:r>
      <w:r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 xml:space="preserve"> representa alrededor de un 30% (ANSI, 2013)</w:t>
      </w:r>
      <w:r w:rsidR="007F29EF"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.</w:t>
      </w:r>
    </w:p>
    <w:p w:rsidR="007F29EF" w:rsidRPr="00FC52D2" w:rsidRDefault="007F29EF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87DE3" w:rsidRPr="00FC52D2" w:rsidRDefault="000D2A97" w:rsidP="008B63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El objetivo de la norma NOM-025-STPS-2008 es establecer los requerimientos de iluminación con el fin de promover un ambiente seguro y saludable en las áreas de los centros de trabajo. </w:t>
      </w:r>
      <w:r w:rsidR="007F29EF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La revisión</w:t>
      </w:r>
      <w:r w:rsidR="00D100C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de lo indicado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 esta norma en las áreas de</w:t>
      </w:r>
      <w:r w:rsidR="00D100C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 in</w:t>
      </w:r>
      <w:r w:rsidR="000F340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stitución educativa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="000F340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responde a la inquietud de </w:t>
      </w:r>
      <w:r w:rsidR="00D100C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conocer el grado de cumplimiento </w:t>
      </w:r>
      <w:r w:rsidR="00FE050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con el que se cuenta, y que pudiera estar afectando el grado de </w:t>
      </w:r>
      <w:r w:rsidR="000F340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aprovechamiento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y desempeño de las actividades de enseñanza aprendizaje </w:t>
      </w:r>
      <w:r w:rsidR="000F340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de las áreas de trabajo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; así como t</w:t>
      </w:r>
      <w:r w:rsidR="00FE050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ambién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, el explorar </w:t>
      </w:r>
      <w:r w:rsidR="00FE050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lastRenderedPageBreak/>
        <w:t xml:space="preserve">alternativas 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para hacer </w:t>
      </w:r>
      <w:r w:rsidR="00FE050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más eficiente</w:t>
      </w:r>
      <w:r w:rsidR="00AF177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FE050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</w:t>
      </w:r>
      <w:r w:rsidR="00AF177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</w:t>
      </w:r>
      <w:r w:rsidR="00FE050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consumo 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 manera</w:t>
      </w:r>
      <w:r w:rsidR="00FE050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de </w:t>
      </w:r>
      <w:r w:rsidR="007F29EF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promover una “conducta pro ecológica”</w:t>
      </w:r>
      <w:r w:rsidR="0090113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 xml:space="preserve"> </w:t>
      </w:r>
      <w:r w:rsidR="00901131" w:rsidRPr="000B18D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(Tonello &amp; Valladares, 2015)</w:t>
      </w:r>
      <w:r w:rsidR="00472A7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al disminuir el </w:t>
      </w:r>
      <w:r w:rsidR="00FE050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gasto</w:t>
      </w:r>
      <w:r w:rsidR="00472A7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y por ende 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su</w:t>
      </w:r>
      <w:r w:rsidR="00472A7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impacto</w:t>
      </w:r>
      <w:r w:rsidR="00FE050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al medio ambiente </w:t>
      </w:r>
      <w:r w:rsidR="00472A7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equivalente por emisiones de gases de efecto invernadero.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</w:p>
    <w:p w:rsidR="00901131" w:rsidRDefault="00901131" w:rsidP="00927A42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</w:p>
    <w:p w:rsidR="003D0FA1" w:rsidRDefault="003D0FA1" w:rsidP="00927A42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</w:p>
    <w:p w:rsidR="00927A42" w:rsidRPr="00FC52D2" w:rsidRDefault="00927A42" w:rsidP="00927A42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Método</w:t>
      </w:r>
    </w:p>
    <w:p w:rsidR="00D87DE3" w:rsidRPr="00FC52D2" w:rsidRDefault="00D87DE3" w:rsidP="00927A42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</w:p>
    <w:p w:rsidR="00D87DE3" w:rsidRPr="00FC52D2" w:rsidRDefault="00FE0505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El estudio fue realizado por la misma persona en sesiones de tiempo disponible en 5 días. Se siguieron los 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pasos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indicados por l</w:t>
      </w:r>
      <w:r w:rsidR="00D100C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a </w:t>
      </w:r>
      <w:r w:rsidR="003D0FA1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NOM-</w:t>
      </w:r>
      <w:r w:rsidR="00D100C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025-STPS-2008. El primero co</w:t>
      </w:r>
      <w:r w:rsidR="0052115C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nsistió en</w:t>
      </w:r>
      <w:r w:rsidR="00D100C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realiza</w:t>
      </w:r>
      <w:r w:rsidR="0052115C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r</w:t>
      </w:r>
      <w:r w:rsidR="00D100C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un reconocimiento de las áreas de trabajo para identificar las condiciones en que se desarrollan las actividades (iluminación deficiente o que pueda provocar deslumbramiento)</w:t>
      </w:r>
      <w:r w:rsidR="007B26D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de acuerdo a lo marcado por el punto 8.2 de la norma.</w:t>
      </w:r>
      <w:r w:rsidR="00B41F1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</w:p>
    <w:p w:rsidR="00AF4A4D" w:rsidRPr="00FC52D2" w:rsidRDefault="00AF4A4D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B41F12" w:rsidRPr="00FC52D2" w:rsidRDefault="007B26D2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</w:t>
      </w:r>
      <w:r w:rsidR="00B41F1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as instalaciones revisadas corresponden a la planta alta del edificio D3 y 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</w:t>
      </w:r>
      <w:r w:rsidR="00B41F1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dos</w:t>
      </w:r>
      <w:r w:rsidR="00B41F1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laboratorios del taller 1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(T1)</w:t>
      </w:r>
      <w:r w:rsidR="00B41F1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. Se trabaja en dos turnos, matutino de las 7:00 a las 16:00 horas y vespertino de las 18:00 a 21:45 horas. En el día son 22 alumnos 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 nivel técnico superior universitario </w:t>
      </w:r>
      <w:r w:rsidR="00B41F1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y en la tarde 15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 de nivel ingeniería</w:t>
      </w:r>
      <w:r w:rsidR="00B41F1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 Las principales actividades que se realizan son trabajos en espacios de oficina, aulas y en laboratorios de computación y de ciencias.</w:t>
      </w:r>
    </w:p>
    <w:p w:rsidR="00F06CDD" w:rsidRDefault="00F06CDD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3D0FA1" w:rsidRDefault="007B26D2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El </w:t>
      </w:r>
      <w:proofErr w:type="gramStart"/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registro</w:t>
      </w:r>
      <w:proofErr w:type="gramEnd"/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sobre la distribución de las áreas de trabajo, el sistema de iluminación y la potencia de las luminarias que hablan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lo</w:t>
      </w:r>
      <w:r w:rsidR="00D87DE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 incisos a) y b) del punto 8.2</w:t>
      </w:r>
      <w:r w:rsidR="0044310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,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se muestran en la</w:t>
      </w:r>
      <w:r w:rsidR="002E6BB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figuras</w:t>
      </w:r>
      <w:r w:rsidR="00901131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1 y 2.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</w:p>
    <w:p w:rsidR="003D0FA1" w:rsidRDefault="003D0FA1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3D0FA1" w:rsidRPr="00FC52D2" w:rsidRDefault="003D0FA1" w:rsidP="003D0FA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Las paredes de los edificios son de concreto sin acabado, pintadas en tono satinado color gris claro y columnas en tono verde obscuro.</w:t>
      </w:r>
    </w:p>
    <w:p w:rsidR="003D0FA1" w:rsidRDefault="003D0FA1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901131" w:rsidRDefault="00901131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Los rectángulos representan la ubicación de las luminarias y la leyenda en los mismos</w:t>
      </w:r>
      <w:r w:rsidR="003D0FA1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 cantidad de lámparas con que cuenta y el tipo</w:t>
      </w:r>
      <w:r w:rsidR="003D0FA1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de potencia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. El acrónimo “NF” acompaña al número de lámparas que no funcionan en la luminaria.  </w:t>
      </w:r>
    </w:p>
    <w:p w:rsidR="00901131" w:rsidRDefault="00901131" w:rsidP="008B6389">
      <w:pPr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664D03" w:rsidRPr="00FC52D2" w:rsidRDefault="003E114E" w:rsidP="00AF177E">
      <w:pPr>
        <w:spacing w:after="0"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 w:eastAsia="es-MX"/>
        </w:rPr>
        <w:lastRenderedPageBreak/>
        <w:drawing>
          <wp:inline distT="0" distB="0" distL="0" distR="0" wp14:anchorId="4C6997D9" wp14:editId="09F3328E">
            <wp:extent cx="5612130" cy="2214880"/>
            <wp:effectExtent l="0" t="0" r="762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431" w:rsidRPr="00FC52D2" w:rsidRDefault="002E6BB3" w:rsidP="008B6389">
      <w:pPr>
        <w:spacing w:after="0" w:line="36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Figura 1.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Distribución de las áre</w:t>
      </w:r>
      <w:r w:rsidR="002B6AF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as de trabajo y cantidad de </w:t>
      </w:r>
      <w:r w:rsidR="00D9767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luminarias y </w:t>
      </w:r>
      <w:r w:rsidR="002B6AF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lám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paras en la planta alta del edificio D3</w:t>
      </w:r>
      <w:r w:rsidR="002B6AF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 Fuente: Elaboración propia.</w:t>
      </w:r>
    </w:p>
    <w:p w:rsidR="00862431" w:rsidRPr="00FC52D2" w:rsidRDefault="00862431" w:rsidP="00D100C4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862431" w:rsidRPr="00FC52D2" w:rsidRDefault="00862431" w:rsidP="00D100C4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 w:eastAsia="es-MX"/>
        </w:rPr>
        <w:drawing>
          <wp:inline distT="0" distB="0" distL="0" distR="0" wp14:anchorId="74AE4011" wp14:editId="5BDCC509">
            <wp:extent cx="5669280" cy="221869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FA" w:rsidRPr="00FC52D2" w:rsidRDefault="002B6AFA" w:rsidP="008B6389">
      <w:pPr>
        <w:spacing w:after="0" w:line="36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Figura 2.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Distribución de las áreas de trabajo y cantidad de</w:t>
      </w:r>
      <w:r w:rsidR="00D9767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luminarias y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lámparas en la planta baja del taller T1. Fuente: Elaboración propia.</w:t>
      </w:r>
    </w:p>
    <w:p w:rsidR="00901131" w:rsidRDefault="00901131" w:rsidP="008B638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52115C" w:rsidRDefault="00E60F3D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La descripción de las tareas visuales y de las áreas de t</w:t>
      </w:r>
      <w:r w:rsidR="002B6AF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rabajo, según lo indica el incis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o d) del punto 8.2 de la norma se detallan en la siguiente tabla:</w:t>
      </w:r>
    </w:p>
    <w:p w:rsidR="00583B67" w:rsidRDefault="00583B67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583B67" w:rsidRDefault="00583B67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583B67" w:rsidRDefault="00583B67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583B67" w:rsidRDefault="00583B67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2B6AFA" w:rsidRPr="00FC52D2" w:rsidRDefault="002B6AFA" w:rsidP="008B6389">
      <w:pPr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lastRenderedPageBreak/>
        <w:t>Tabla</w:t>
      </w:r>
      <w:r w:rsidR="006F5C08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 xml:space="preserve"> 1.</w:t>
      </w:r>
      <w:r w:rsidR="006F5C0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Desglose de áreas, su clasificación y el requerimiento mínimo en lux.</w:t>
      </w:r>
    </w:p>
    <w:tbl>
      <w:tblPr>
        <w:tblStyle w:val="Tablaconcuadrcula"/>
        <w:tblW w:w="9380" w:type="dxa"/>
        <w:tblLook w:val="04A0" w:firstRow="1" w:lastRow="0" w:firstColumn="1" w:lastColumn="0" w:noHBand="0" w:noVBand="1"/>
      </w:tblPr>
      <w:tblGrid>
        <w:gridCol w:w="1711"/>
        <w:gridCol w:w="2849"/>
        <w:gridCol w:w="2400"/>
        <w:gridCol w:w="1220"/>
        <w:gridCol w:w="1200"/>
      </w:tblGrid>
      <w:tr w:rsidR="002172F3" w:rsidRPr="00FC52D2" w:rsidTr="00471008">
        <w:trPr>
          <w:trHeight w:val="300"/>
        </w:trPr>
        <w:tc>
          <w:tcPr>
            <w:tcW w:w="4560" w:type="dxa"/>
            <w:gridSpan w:val="2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Edificio D3, planta alta</w:t>
            </w:r>
          </w:p>
        </w:tc>
        <w:tc>
          <w:tcPr>
            <w:tcW w:w="24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122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</w:tr>
      <w:tr w:rsidR="002172F3" w:rsidRPr="00FC52D2" w:rsidTr="00471008">
        <w:trPr>
          <w:trHeight w:val="497"/>
        </w:trPr>
        <w:tc>
          <w:tcPr>
            <w:tcW w:w="1711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Área</w:t>
            </w:r>
          </w:p>
        </w:tc>
        <w:tc>
          <w:tcPr>
            <w:tcW w:w="2849" w:type="dxa"/>
            <w:noWrap/>
            <w:hideMark/>
          </w:tcPr>
          <w:p w:rsidR="002172F3" w:rsidRPr="00FC52D2" w:rsidRDefault="002172F3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Puestos de trabajo y equipos</w:t>
            </w:r>
          </w:p>
        </w:tc>
        <w:tc>
          <w:tcPr>
            <w:tcW w:w="24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Clasificación </w:t>
            </w:r>
          </w:p>
        </w:tc>
        <w:tc>
          <w:tcPr>
            <w:tcW w:w="1220" w:type="dxa"/>
            <w:noWrap/>
            <w:hideMark/>
          </w:tcPr>
          <w:p w:rsidR="002172F3" w:rsidRPr="00FC52D2" w:rsidRDefault="00F40420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Mín.</w:t>
            </w:r>
            <w:r w:rsidR="002172F3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lux</w:t>
            </w: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Horario</w:t>
            </w:r>
          </w:p>
        </w:tc>
      </w:tr>
      <w:tr w:rsidR="002172F3" w:rsidRPr="00FC52D2" w:rsidTr="00471008">
        <w:trPr>
          <w:trHeight w:val="780"/>
        </w:trPr>
        <w:tc>
          <w:tcPr>
            <w:tcW w:w="1711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Dirección</w:t>
            </w:r>
          </w:p>
        </w:tc>
        <w:tc>
          <w:tcPr>
            <w:tcW w:w="2849" w:type="dxa"/>
            <w:noWrap/>
            <w:hideMark/>
          </w:tcPr>
          <w:p w:rsidR="002172F3" w:rsidRPr="00FC52D2" w:rsidRDefault="002172F3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1, 1 pc</w:t>
            </w:r>
          </w:p>
        </w:tc>
        <w:tc>
          <w:tcPr>
            <w:tcW w:w="2400" w:type="dxa"/>
            <w:vMerge w:val="restart"/>
            <w:hideMark/>
          </w:tcPr>
          <w:p w:rsidR="00753E33" w:rsidRPr="00FC52D2" w:rsidRDefault="00753E3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753E33" w:rsidRPr="00FC52D2" w:rsidRDefault="00753E3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753E33" w:rsidRPr="00FC52D2" w:rsidRDefault="00753E3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753E33" w:rsidRPr="00FC52D2" w:rsidRDefault="00753E3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753E33" w:rsidRPr="00FC52D2" w:rsidRDefault="00753E3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753E33" w:rsidRPr="00FC52D2" w:rsidRDefault="00753E3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2172F3" w:rsidRPr="00FC52D2" w:rsidRDefault="002172F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Oficina, distinción moderada de detalles</w:t>
            </w:r>
          </w:p>
        </w:tc>
        <w:tc>
          <w:tcPr>
            <w:tcW w:w="1220" w:type="dxa"/>
            <w:vMerge w:val="restart"/>
            <w:noWrap/>
            <w:hideMark/>
          </w:tcPr>
          <w:p w:rsidR="00753E33" w:rsidRPr="00FC52D2" w:rsidRDefault="00753E3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753E33" w:rsidRPr="00FC52D2" w:rsidRDefault="00753E3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753E33" w:rsidRPr="00FC52D2" w:rsidRDefault="00753E3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753E33" w:rsidRPr="00FC52D2" w:rsidRDefault="00753E3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753E33" w:rsidRPr="00FC52D2" w:rsidRDefault="00753E3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2172F3" w:rsidRPr="00FC52D2" w:rsidRDefault="002172F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300</w:t>
            </w: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 pm</w:t>
            </w:r>
          </w:p>
        </w:tc>
      </w:tr>
      <w:tr w:rsidR="002172F3" w:rsidRPr="00FC52D2" w:rsidTr="00471008">
        <w:trPr>
          <w:trHeight w:val="630"/>
        </w:trPr>
        <w:tc>
          <w:tcPr>
            <w:tcW w:w="1711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Oficinas PTC</w:t>
            </w:r>
          </w:p>
        </w:tc>
        <w:tc>
          <w:tcPr>
            <w:tcW w:w="2849" w:type="dxa"/>
            <w:noWrap/>
            <w:hideMark/>
          </w:tcPr>
          <w:p w:rsidR="002172F3" w:rsidRPr="00FC52D2" w:rsidRDefault="002172F3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2, 2  pc</w:t>
            </w:r>
          </w:p>
        </w:tc>
        <w:tc>
          <w:tcPr>
            <w:tcW w:w="240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2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 pm</w:t>
            </w:r>
          </w:p>
        </w:tc>
      </w:tr>
      <w:tr w:rsidR="002172F3" w:rsidRPr="00FC52D2" w:rsidTr="00471008">
        <w:trPr>
          <w:trHeight w:val="630"/>
        </w:trPr>
        <w:tc>
          <w:tcPr>
            <w:tcW w:w="1711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Sala de maestros</w:t>
            </w:r>
          </w:p>
        </w:tc>
        <w:tc>
          <w:tcPr>
            <w:tcW w:w="2849" w:type="dxa"/>
            <w:noWrap/>
            <w:hideMark/>
          </w:tcPr>
          <w:p w:rsidR="002172F3" w:rsidRPr="00FC52D2" w:rsidRDefault="002172F3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5, 4 pc</w:t>
            </w:r>
          </w:p>
        </w:tc>
        <w:tc>
          <w:tcPr>
            <w:tcW w:w="240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2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 pm</w:t>
            </w:r>
          </w:p>
        </w:tc>
      </w:tr>
      <w:tr w:rsidR="002172F3" w:rsidRPr="00FC52D2" w:rsidTr="00471008">
        <w:trPr>
          <w:trHeight w:val="630"/>
        </w:trPr>
        <w:tc>
          <w:tcPr>
            <w:tcW w:w="1711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Serv. Tec.</w:t>
            </w:r>
          </w:p>
        </w:tc>
        <w:tc>
          <w:tcPr>
            <w:tcW w:w="2849" w:type="dxa"/>
            <w:noWrap/>
            <w:hideMark/>
          </w:tcPr>
          <w:p w:rsidR="002172F3" w:rsidRPr="00FC52D2" w:rsidRDefault="002172F3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3, 2 pc</w:t>
            </w:r>
          </w:p>
        </w:tc>
        <w:tc>
          <w:tcPr>
            <w:tcW w:w="240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2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 pm</w:t>
            </w:r>
          </w:p>
        </w:tc>
      </w:tr>
      <w:tr w:rsidR="002172F3" w:rsidRPr="00FC52D2" w:rsidTr="00471008">
        <w:trPr>
          <w:trHeight w:val="300"/>
        </w:trPr>
        <w:tc>
          <w:tcPr>
            <w:tcW w:w="1711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Sanitario damas</w:t>
            </w:r>
          </w:p>
        </w:tc>
        <w:tc>
          <w:tcPr>
            <w:tcW w:w="2849" w:type="dxa"/>
            <w:noWrap/>
            <w:hideMark/>
          </w:tcPr>
          <w:p w:rsidR="002172F3" w:rsidRPr="00FC52D2" w:rsidRDefault="002172F3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N/A</w:t>
            </w:r>
          </w:p>
        </w:tc>
        <w:tc>
          <w:tcPr>
            <w:tcW w:w="2400" w:type="dxa"/>
            <w:vMerge w:val="restart"/>
            <w:hideMark/>
          </w:tcPr>
          <w:p w:rsidR="002172F3" w:rsidRPr="00FC52D2" w:rsidRDefault="002172F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Sanitario, área de espera</w:t>
            </w:r>
          </w:p>
        </w:tc>
        <w:tc>
          <w:tcPr>
            <w:tcW w:w="1220" w:type="dxa"/>
            <w:vMerge w:val="restart"/>
            <w:noWrap/>
            <w:hideMark/>
          </w:tcPr>
          <w:p w:rsidR="002172F3" w:rsidRPr="00FC52D2" w:rsidRDefault="002172F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100</w:t>
            </w: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 pm</w:t>
            </w:r>
          </w:p>
        </w:tc>
      </w:tr>
      <w:tr w:rsidR="002172F3" w:rsidRPr="00FC52D2" w:rsidTr="00471008">
        <w:trPr>
          <w:trHeight w:val="300"/>
        </w:trPr>
        <w:tc>
          <w:tcPr>
            <w:tcW w:w="1711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Sanitario hombres</w:t>
            </w:r>
          </w:p>
        </w:tc>
        <w:tc>
          <w:tcPr>
            <w:tcW w:w="2849" w:type="dxa"/>
            <w:noWrap/>
            <w:hideMark/>
          </w:tcPr>
          <w:p w:rsidR="002172F3" w:rsidRPr="00FC52D2" w:rsidRDefault="002172F3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N/A</w:t>
            </w:r>
          </w:p>
        </w:tc>
        <w:tc>
          <w:tcPr>
            <w:tcW w:w="240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2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 pm</w:t>
            </w:r>
          </w:p>
        </w:tc>
      </w:tr>
      <w:tr w:rsidR="002172F3" w:rsidRPr="00FC52D2" w:rsidTr="00471008">
        <w:trPr>
          <w:trHeight w:val="300"/>
        </w:trPr>
        <w:tc>
          <w:tcPr>
            <w:tcW w:w="1711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Pasillo recepción</w:t>
            </w:r>
          </w:p>
        </w:tc>
        <w:tc>
          <w:tcPr>
            <w:tcW w:w="2849" w:type="dxa"/>
            <w:noWrap/>
            <w:hideMark/>
          </w:tcPr>
          <w:p w:rsidR="002172F3" w:rsidRPr="00FC52D2" w:rsidRDefault="002172F3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N/A</w:t>
            </w:r>
          </w:p>
        </w:tc>
        <w:tc>
          <w:tcPr>
            <w:tcW w:w="2400" w:type="dxa"/>
            <w:vMerge w:val="restart"/>
            <w:hideMark/>
          </w:tcPr>
          <w:p w:rsidR="002172F3" w:rsidRPr="00FC52D2" w:rsidRDefault="002172F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Pasillo- en interiores-áreas de circulación</w:t>
            </w:r>
          </w:p>
        </w:tc>
        <w:tc>
          <w:tcPr>
            <w:tcW w:w="1220" w:type="dxa"/>
            <w:vMerge w:val="restart"/>
            <w:hideMark/>
          </w:tcPr>
          <w:p w:rsidR="002172F3" w:rsidRPr="00FC52D2" w:rsidRDefault="002172F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100</w:t>
            </w: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 pm</w:t>
            </w:r>
          </w:p>
        </w:tc>
      </w:tr>
      <w:tr w:rsidR="002172F3" w:rsidRPr="00FC52D2" w:rsidTr="00471008">
        <w:trPr>
          <w:trHeight w:val="300"/>
        </w:trPr>
        <w:tc>
          <w:tcPr>
            <w:tcW w:w="1711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Pasillo PA</w:t>
            </w:r>
          </w:p>
        </w:tc>
        <w:tc>
          <w:tcPr>
            <w:tcW w:w="2849" w:type="dxa"/>
            <w:noWrap/>
            <w:hideMark/>
          </w:tcPr>
          <w:p w:rsidR="002172F3" w:rsidRPr="00FC52D2" w:rsidRDefault="002172F3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N/A</w:t>
            </w:r>
          </w:p>
        </w:tc>
        <w:tc>
          <w:tcPr>
            <w:tcW w:w="240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2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 pm</w:t>
            </w:r>
          </w:p>
        </w:tc>
      </w:tr>
      <w:tr w:rsidR="002172F3" w:rsidRPr="00FC52D2" w:rsidTr="00471008">
        <w:trPr>
          <w:trHeight w:val="540"/>
        </w:trPr>
        <w:tc>
          <w:tcPr>
            <w:tcW w:w="1711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Lab. Idiomas</w:t>
            </w:r>
          </w:p>
        </w:tc>
        <w:tc>
          <w:tcPr>
            <w:tcW w:w="2849" w:type="dxa"/>
            <w:noWrap/>
            <w:hideMark/>
          </w:tcPr>
          <w:p w:rsidR="002172F3" w:rsidRPr="00FC52D2" w:rsidRDefault="002172F3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 pc</w:t>
            </w:r>
          </w:p>
        </w:tc>
        <w:tc>
          <w:tcPr>
            <w:tcW w:w="2400" w:type="dxa"/>
            <w:vMerge w:val="restart"/>
            <w:hideMark/>
          </w:tcPr>
          <w:p w:rsidR="002172F3" w:rsidRPr="00FC52D2" w:rsidRDefault="002172F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Sala de cómputo, distinción clara de detalles-proceso de información</w:t>
            </w:r>
          </w:p>
        </w:tc>
        <w:tc>
          <w:tcPr>
            <w:tcW w:w="1220" w:type="dxa"/>
            <w:vMerge w:val="restart"/>
            <w:noWrap/>
            <w:hideMark/>
          </w:tcPr>
          <w:p w:rsidR="002172F3" w:rsidRPr="00FC52D2" w:rsidRDefault="002172F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500</w:t>
            </w: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 pm</w:t>
            </w:r>
          </w:p>
        </w:tc>
      </w:tr>
      <w:tr w:rsidR="002172F3" w:rsidRPr="00FC52D2" w:rsidTr="00471008">
        <w:trPr>
          <w:trHeight w:val="630"/>
        </w:trPr>
        <w:tc>
          <w:tcPr>
            <w:tcW w:w="1711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Lab. Informática</w:t>
            </w:r>
          </w:p>
        </w:tc>
        <w:tc>
          <w:tcPr>
            <w:tcW w:w="2849" w:type="dxa"/>
            <w:noWrap/>
            <w:hideMark/>
          </w:tcPr>
          <w:p w:rsidR="002172F3" w:rsidRPr="00FC52D2" w:rsidRDefault="002172F3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31 pc</w:t>
            </w:r>
          </w:p>
        </w:tc>
        <w:tc>
          <w:tcPr>
            <w:tcW w:w="240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2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 pm</w:t>
            </w:r>
          </w:p>
        </w:tc>
      </w:tr>
      <w:tr w:rsidR="002172F3" w:rsidRPr="00FC52D2" w:rsidTr="00471008">
        <w:trPr>
          <w:trHeight w:val="300"/>
        </w:trPr>
        <w:tc>
          <w:tcPr>
            <w:tcW w:w="1711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Bibilioteca</w:t>
            </w:r>
          </w:p>
        </w:tc>
        <w:tc>
          <w:tcPr>
            <w:tcW w:w="2849" w:type="dxa"/>
            <w:noWrap/>
            <w:hideMark/>
          </w:tcPr>
          <w:p w:rsidR="002172F3" w:rsidRPr="00FC52D2" w:rsidRDefault="002172F3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22 alumnos /15 alumnos</w:t>
            </w:r>
          </w:p>
        </w:tc>
        <w:tc>
          <w:tcPr>
            <w:tcW w:w="2400" w:type="dxa"/>
            <w:vMerge w:val="restart"/>
            <w:hideMark/>
          </w:tcPr>
          <w:p w:rsidR="002172F3" w:rsidRPr="00FC52D2" w:rsidRDefault="002172F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Aula, distinción moderada de detalles</w:t>
            </w:r>
          </w:p>
        </w:tc>
        <w:tc>
          <w:tcPr>
            <w:tcW w:w="1220" w:type="dxa"/>
            <w:vMerge w:val="restart"/>
            <w:noWrap/>
            <w:hideMark/>
          </w:tcPr>
          <w:p w:rsidR="002172F3" w:rsidRPr="00FC52D2" w:rsidRDefault="002172F3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300</w:t>
            </w: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 pm</w:t>
            </w:r>
          </w:p>
        </w:tc>
      </w:tr>
      <w:tr w:rsidR="002172F3" w:rsidRPr="00FC52D2" w:rsidTr="00471008">
        <w:trPr>
          <w:trHeight w:val="300"/>
        </w:trPr>
        <w:tc>
          <w:tcPr>
            <w:tcW w:w="1711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Salón TA</w:t>
            </w:r>
          </w:p>
        </w:tc>
        <w:tc>
          <w:tcPr>
            <w:tcW w:w="2849" w:type="dxa"/>
            <w:noWrap/>
            <w:hideMark/>
          </w:tcPr>
          <w:p w:rsidR="002172F3" w:rsidRPr="00FC52D2" w:rsidRDefault="002172F3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22 alumnos /15 alumnos</w:t>
            </w:r>
          </w:p>
        </w:tc>
        <w:tc>
          <w:tcPr>
            <w:tcW w:w="240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20" w:type="dxa"/>
            <w:vMerge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00" w:type="dxa"/>
            <w:noWrap/>
            <w:hideMark/>
          </w:tcPr>
          <w:p w:rsidR="002172F3" w:rsidRPr="00FC52D2" w:rsidRDefault="002172F3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 pm</w:t>
            </w:r>
          </w:p>
        </w:tc>
      </w:tr>
      <w:tr w:rsidR="00940DB9" w:rsidRPr="00FC52D2" w:rsidTr="00F24BC8">
        <w:trPr>
          <w:trHeight w:val="300"/>
        </w:trPr>
        <w:tc>
          <w:tcPr>
            <w:tcW w:w="9380" w:type="dxa"/>
            <w:gridSpan w:val="5"/>
            <w:noWrap/>
            <w:hideMark/>
          </w:tcPr>
          <w:p w:rsidR="00940DB9" w:rsidRPr="00FC52D2" w:rsidRDefault="00940DB9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Taller T1, Planta baja</w:t>
            </w:r>
          </w:p>
        </w:tc>
      </w:tr>
      <w:tr w:rsidR="00C10A52" w:rsidRPr="00FC52D2" w:rsidTr="00471008">
        <w:trPr>
          <w:trHeight w:val="1575"/>
        </w:trPr>
        <w:tc>
          <w:tcPr>
            <w:tcW w:w="1711" w:type="dxa"/>
            <w:noWrap/>
            <w:hideMark/>
          </w:tcPr>
          <w:p w:rsidR="00C10A52" w:rsidRPr="00FC52D2" w:rsidRDefault="00C10A52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Lab. Tec. Agua</w:t>
            </w:r>
          </w:p>
        </w:tc>
        <w:tc>
          <w:tcPr>
            <w:tcW w:w="2849" w:type="dxa"/>
            <w:hideMark/>
          </w:tcPr>
          <w:p w:rsidR="00C10A52" w:rsidRPr="00FC52D2" w:rsidRDefault="00C10A52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 equipos de tratamiento de agua, refrigerador, 2 mesas de trabajo a lo largo del laboratorio junto a pared , 1 tarja y mesa central</w:t>
            </w:r>
          </w:p>
        </w:tc>
        <w:tc>
          <w:tcPr>
            <w:tcW w:w="2400" w:type="dxa"/>
            <w:vMerge w:val="restart"/>
            <w:hideMark/>
          </w:tcPr>
          <w:p w:rsidR="00C10A52" w:rsidRPr="00FC52D2" w:rsidRDefault="00C10A52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C10A52" w:rsidRPr="00FC52D2" w:rsidRDefault="00C10A52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C10A52" w:rsidRPr="00FC52D2" w:rsidRDefault="00C10A52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C10A52" w:rsidRPr="00FC52D2" w:rsidRDefault="00C10A52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C10A52" w:rsidRPr="00FC52D2" w:rsidRDefault="00C10A52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Laboratorio, distinción clara de detalles-equipo de laboratorio</w:t>
            </w:r>
          </w:p>
        </w:tc>
        <w:tc>
          <w:tcPr>
            <w:tcW w:w="1220" w:type="dxa"/>
            <w:vMerge w:val="restart"/>
            <w:noWrap/>
            <w:hideMark/>
          </w:tcPr>
          <w:p w:rsidR="00C10A52" w:rsidRPr="00FC52D2" w:rsidRDefault="00C10A52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C10A52" w:rsidRPr="00FC52D2" w:rsidRDefault="00C10A52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C10A52" w:rsidRPr="00FC52D2" w:rsidRDefault="00C10A52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C10A52" w:rsidRPr="00FC52D2" w:rsidRDefault="00C10A52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C10A52" w:rsidRPr="00FC52D2" w:rsidRDefault="00C10A52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  <w:p w:rsidR="00C10A52" w:rsidRPr="00FC52D2" w:rsidRDefault="00C10A52" w:rsidP="00217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500</w:t>
            </w:r>
          </w:p>
        </w:tc>
        <w:tc>
          <w:tcPr>
            <w:tcW w:w="1200" w:type="dxa"/>
            <w:noWrap/>
            <w:hideMark/>
          </w:tcPr>
          <w:p w:rsidR="00C10A52" w:rsidRPr="00FC52D2" w:rsidRDefault="00C10A52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 pm</w:t>
            </w:r>
          </w:p>
        </w:tc>
      </w:tr>
      <w:tr w:rsidR="00C10A52" w:rsidRPr="00FC52D2" w:rsidTr="00471008">
        <w:trPr>
          <w:trHeight w:val="1800"/>
        </w:trPr>
        <w:tc>
          <w:tcPr>
            <w:tcW w:w="1711" w:type="dxa"/>
            <w:noWrap/>
            <w:hideMark/>
          </w:tcPr>
          <w:p w:rsidR="00C10A52" w:rsidRPr="00FC52D2" w:rsidRDefault="00C10A52" w:rsidP="002172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Lab. Q. Analítica </w:t>
            </w:r>
          </w:p>
        </w:tc>
        <w:tc>
          <w:tcPr>
            <w:tcW w:w="2849" w:type="dxa"/>
            <w:hideMark/>
          </w:tcPr>
          <w:p w:rsidR="00C10A52" w:rsidRPr="00FC52D2" w:rsidRDefault="00C10A52" w:rsidP="00AF1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 autoclaves, centrífuga, incubadora, estufa, mufla, 2 balanzas, 5 microscopios, 5 parrillas de calentamiento, 2 mesas de trabajo a lo largo del laboratorio junto a pared, 1 tarja y mesa central</w:t>
            </w:r>
          </w:p>
        </w:tc>
        <w:tc>
          <w:tcPr>
            <w:tcW w:w="2400" w:type="dxa"/>
            <w:vMerge/>
            <w:hideMark/>
          </w:tcPr>
          <w:p w:rsidR="00C10A52" w:rsidRPr="00FC52D2" w:rsidRDefault="00C10A52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20" w:type="dxa"/>
            <w:vMerge/>
            <w:hideMark/>
          </w:tcPr>
          <w:p w:rsidR="00C10A52" w:rsidRPr="00FC52D2" w:rsidRDefault="00C10A52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200" w:type="dxa"/>
            <w:noWrap/>
            <w:hideMark/>
          </w:tcPr>
          <w:p w:rsidR="00C10A52" w:rsidRPr="00FC52D2" w:rsidRDefault="00C10A52" w:rsidP="00217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 am -</w:t>
            </w:r>
            <w:r w:rsidR="00940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 pm</w:t>
            </w:r>
          </w:p>
        </w:tc>
      </w:tr>
    </w:tbl>
    <w:p w:rsidR="00AC76ED" w:rsidRPr="00FC52D2" w:rsidRDefault="00D100C4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lastRenderedPageBreak/>
        <w:t xml:space="preserve">Posteriormente, </w:t>
      </w:r>
      <w:r w:rsidR="00AC76E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se rea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lizar</w:t>
      </w:r>
      <w:r w:rsidR="00AC76E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on los cálculos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para determinar el número de puntos de muestreo para la medición de los niveles de iluminación</w:t>
      </w:r>
      <w:r w:rsidR="00F4042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 Las áreas de trabajo s</w:t>
      </w:r>
      <w:r w:rsidR="00AC76E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 dividieron </w:t>
      </w:r>
      <w:r w:rsidR="00F4042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</w:t>
      </w:r>
      <w:r w:rsidR="00AC76E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zonas de acuerdo a lo indicado en la tabla A1 del apéndice A de la norma, con la fórmula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es-MX"/>
          </w:rPr>
          <m:t>IC=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s-MX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s-MX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s-MX"/>
                  </w:rPr>
                  <m:t>x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s-MX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s-MX"/>
                  </w:rPr>
                  <m:t>y</m:t>
                </m:r>
              </m:e>
            </m:d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s-MX"/>
              </w:rPr>
              <m:t>h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s-MX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s-MX"/>
                  </w:rPr>
                  <m:t>x+y</m:t>
                </m:r>
              </m:e>
            </m:d>
          </m:den>
        </m:f>
      </m:oMath>
      <w:r w:rsidR="003445F2" w:rsidRPr="00FC52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4013A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del punto A.2.3.1</w:t>
      </w:r>
      <w:r w:rsidR="00F4042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="004013A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AC76E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resultando los siguientes:</w:t>
      </w:r>
    </w:p>
    <w:p w:rsidR="00583B67" w:rsidRDefault="00583B67" w:rsidP="008B6389">
      <w:pPr>
        <w:spacing w:after="0" w:line="36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2B6AFA" w:rsidRPr="00FC52D2" w:rsidRDefault="002B6AFA" w:rsidP="008B6389">
      <w:pPr>
        <w:spacing w:after="0" w:line="360" w:lineRule="auto"/>
        <w:ind w:firstLine="72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 xml:space="preserve">Tabla </w:t>
      </w:r>
      <w:r w:rsidR="006F5C08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2.</w:t>
      </w:r>
      <w:r w:rsidR="006F5C0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Cálculo de índice de área (IC) y zonas a dividir.</w:t>
      </w:r>
    </w:p>
    <w:tbl>
      <w:tblPr>
        <w:tblW w:w="6152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714"/>
        <w:gridCol w:w="780"/>
        <w:gridCol w:w="754"/>
        <w:gridCol w:w="560"/>
        <w:gridCol w:w="1557"/>
      </w:tblGrid>
      <w:tr w:rsidR="00AC76ED" w:rsidRPr="00FC52D2" w:rsidTr="006F5C08">
        <w:trPr>
          <w:trHeight w:val="300"/>
          <w:jc w:val="center"/>
        </w:trPr>
        <w:tc>
          <w:tcPr>
            <w:tcW w:w="2501" w:type="dxa"/>
            <w:gridSpan w:val="2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Edificio D3, planta alta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C76ED" w:rsidRPr="00BB065E" w:rsidTr="006F5C08">
        <w:trPr>
          <w:trHeight w:val="1005"/>
          <w:jc w:val="center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Área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3445F2" w:rsidRPr="00FC52D2" w:rsidRDefault="003445F2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</w:t>
            </w:r>
            <w:r w:rsidR="00AC76ED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argo</w:t>
            </w:r>
          </w:p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</w:t>
            </w:r>
            <w:r w:rsidR="003445F2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(x)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C76ED" w:rsidRPr="00FC52D2" w:rsidRDefault="003445F2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AC76ED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ncho</w:t>
            </w:r>
          </w:p>
          <w:p w:rsidR="003445F2" w:rsidRPr="00FC52D2" w:rsidRDefault="003445F2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(y)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AC76ED" w:rsidRPr="00FC52D2" w:rsidRDefault="003445F2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AC76ED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ltura</w:t>
            </w:r>
          </w:p>
          <w:p w:rsidR="003445F2" w:rsidRPr="00FC52D2" w:rsidRDefault="003445F2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(h)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IC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AC76ED" w:rsidRPr="00FC52D2" w:rsidRDefault="00AC76ED" w:rsidP="00AC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Número </w:t>
            </w:r>
            <w:r w:rsidR="003445F2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mín.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de zonas , (por limitación)</w:t>
            </w:r>
          </w:p>
        </w:tc>
      </w:tr>
      <w:tr w:rsidR="00AC76ED" w:rsidRPr="00FC52D2" w:rsidTr="006F5C08">
        <w:trPr>
          <w:trHeight w:val="78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Dirección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7.68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3.6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1.36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9(12)</w:t>
            </w:r>
          </w:p>
        </w:tc>
      </w:tr>
      <w:tr w:rsidR="00AC76ED" w:rsidRPr="00FC52D2" w:rsidTr="006F5C08">
        <w:trPr>
          <w:trHeight w:val="63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Oficinas PTC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4.88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4.47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1.30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9(12)</w:t>
            </w:r>
          </w:p>
        </w:tc>
      </w:tr>
      <w:tr w:rsidR="00AC76ED" w:rsidRPr="00FC52D2" w:rsidTr="006F5C08">
        <w:trPr>
          <w:trHeight w:val="63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Sala de maestros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7.86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9.61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2.40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16(20)</w:t>
            </w:r>
          </w:p>
        </w:tc>
      </w:tr>
      <w:tr w:rsidR="00AC76ED" w:rsidRPr="00FC52D2" w:rsidTr="006F5C08">
        <w:trPr>
          <w:trHeight w:val="63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Serv. Tec.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7.88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4.88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1.67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9(12)</w:t>
            </w:r>
          </w:p>
        </w:tc>
      </w:tr>
      <w:tr w:rsidR="00AC76ED" w:rsidRPr="00FC52D2" w:rsidTr="006F5C08">
        <w:trPr>
          <w:trHeight w:val="30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Sanitario damas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1.65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4.7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0.68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4(16)</w:t>
            </w:r>
          </w:p>
        </w:tc>
      </w:tr>
      <w:tr w:rsidR="00AC76ED" w:rsidRPr="00FC52D2" w:rsidTr="006F5C08">
        <w:trPr>
          <w:trHeight w:val="30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Sanitario hombres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1.82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4.7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0.73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4(16)</w:t>
            </w:r>
          </w:p>
        </w:tc>
      </w:tr>
      <w:tr w:rsidR="00AC76ED" w:rsidRPr="00FC52D2" w:rsidTr="006F5C08">
        <w:trPr>
          <w:trHeight w:val="30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Pasillo recepción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6.54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4.47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1.48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9(12)</w:t>
            </w:r>
          </w:p>
        </w:tc>
      </w:tr>
      <w:tr w:rsidR="00AC76ED" w:rsidRPr="00FC52D2" w:rsidTr="006F5C08">
        <w:trPr>
          <w:trHeight w:val="30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Pasillo PA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3.44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39.6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1.86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9(12)</w:t>
            </w:r>
          </w:p>
        </w:tc>
      </w:tr>
      <w:tr w:rsidR="00AC76ED" w:rsidRPr="00FC52D2" w:rsidTr="006F5C08">
        <w:trPr>
          <w:trHeight w:val="54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Lab. Idiomas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7.64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8.49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2.23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16(20)</w:t>
            </w:r>
          </w:p>
        </w:tc>
      </w:tr>
      <w:tr w:rsidR="00AC76ED" w:rsidRPr="00FC52D2" w:rsidTr="006F5C08">
        <w:trPr>
          <w:trHeight w:val="63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Lab. Informática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7.7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10.7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2.49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16(20)</w:t>
            </w:r>
          </w:p>
        </w:tc>
      </w:tr>
      <w:tr w:rsidR="00AC76ED" w:rsidRPr="00FC52D2" w:rsidTr="006F5C08">
        <w:trPr>
          <w:trHeight w:val="30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Bibilioteca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7.64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4.7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1.62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9(12)</w:t>
            </w:r>
          </w:p>
        </w:tc>
      </w:tr>
      <w:tr w:rsidR="00AC76ED" w:rsidRPr="00FC52D2" w:rsidTr="006F5C08">
        <w:trPr>
          <w:trHeight w:val="30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Salón TA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7.64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4.7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1.62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9(12)</w:t>
            </w:r>
          </w:p>
        </w:tc>
      </w:tr>
      <w:tr w:rsidR="00AC76ED" w:rsidRPr="00FC52D2" w:rsidTr="006F5C08">
        <w:trPr>
          <w:trHeight w:val="30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B6AFA" w:rsidRPr="00FC52D2" w:rsidTr="006F5C08">
        <w:trPr>
          <w:trHeight w:val="300"/>
          <w:jc w:val="center"/>
        </w:trPr>
        <w:tc>
          <w:tcPr>
            <w:tcW w:w="6152" w:type="dxa"/>
            <w:gridSpan w:val="6"/>
            <w:shd w:val="clear" w:color="auto" w:fill="auto"/>
            <w:noWrap/>
            <w:vAlign w:val="bottom"/>
            <w:hideMark/>
          </w:tcPr>
          <w:p w:rsidR="002B6AFA" w:rsidRPr="00FC52D2" w:rsidRDefault="002B6AFA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Taller T1, Planta baja</w:t>
            </w:r>
          </w:p>
        </w:tc>
      </w:tr>
      <w:tr w:rsidR="00AC76ED" w:rsidRPr="00FC52D2" w:rsidTr="006F5C08">
        <w:trPr>
          <w:trHeight w:val="300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Lab. Tec. Agua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2.35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1.94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9(12)</w:t>
            </w:r>
          </w:p>
        </w:tc>
      </w:tr>
      <w:tr w:rsidR="00AC76ED" w:rsidRPr="00FC52D2" w:rsidTr="006F5C08">
        <w:trPr>
          <w:trHeight w:val="525"/>
          <w:jc w:val="center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Lab. Q. Analítica 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2.35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1.94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76ED" w:rsidRPr="00FC52D2" w:rsidRDefault="00AC76ED" w:rsidP="00AC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9(12)</w:t>
            </w:r>
          </w:p>
        </w:tc>
      </w:tr>
    </w:tbl>
    <w:p w:rsidR="003D0FA1" w:rsidRDefault="003D0FA1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4013AA" w:rsidRPr="00FC52D2" w:rsidRDefault="00B14CF3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lastRenderedPageBreak/>
        <w:t xml:space="preserve">Se ubicaron los puntos de muestreo de acuerdo a lo estipulado en el punto </w:t>
      </w:r>
      <w:r w:rsidR="004013A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9.1.2 y el A.2.3 del apéndice A, es decir</w:t>
      </w:r>
      <w:r w:rsidR="00F4042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="004013A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en condiciones normales de operación considerando las áreas y puestos de trabajo.</w:t>
      </w:r>
    </w:p>
    <w:p w:rsidR="00F40420" w:rsidRPr="00FC52D2" w:rsidRDefault="00F40420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40420" w:rsidRPr="00FC52D2" w:rsidRDefault="00F40420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Como instrumento de</w:t>
      </w:r>
      <w:r w:rsidR="006108FC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medición, se utilizó el luxómetro EasyView 30, modelo EA30 de la marca Extech</w:t>
      </w:r>
      <w:r w:rsidR="00B509C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,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que, </w:t>
      </w:r>
      <w:r w:rsidR="00B509C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de acuerdo a la hoja de datos de fabricante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="00B509C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cuenta con medidas corregidas para coseno y color (en cumplimiento con los incisos a, b y c del punto A.3.1 de la norma) y una exactitud de ±3% lect. + 0.5% FS. </w:t>
      </w:r>
    </w:p>
    <w:p w:rsidR="00F40420" w:rsidRPr="00FC52D2" w:rsidRDefault="00F40420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6108FC" w:rsidRPr="00FC52D2" w:rsidRDefault="00720096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El </w:t>
      </w:r>
      <w:r w:rsidR="006F5C0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sensor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fue colocado en los puestos de trabajo de las áreas determinadas, cons</w:t>
      </w:r>
      <w:r w:rsidR="007A1AE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iderando los planos de trabajo </w:t>
      </w:r>
      <w:r w:rsidR="006F5C0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superficie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horizontal</w:t>
      </w:r>
      <w:r w:rsidR="006F5C0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(h)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 vertical</w:t>
      </w:r>
      <w:r w:rsidR="006F5C0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(v)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u oblicua</w:t>
      </w:r>
      <w:r w:rsidR="006F5C0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(o)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 en la que los trabajadores desarr</w:t>
      </w:r>
      <w:r w:rsidR="007A1AE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ollan su trabajo </w:t>
      </w:r>
      <w:r w:rsidR="00940DB9" w:rsidRPr="000B18D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(Labour Department Government of Hong Kong, 2008, págs. 11,13)</w:t>
      </w:r>
      <w:r w:rsidR="00F4042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 D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 manera general</w:t>
      </w:r>
      <w:r w:rsidR="00F4042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, los planos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fueron horizontales en escritorios y mesas de trabajo y verticales en el caso de monitores y los indica</w:t>
      </w:r>
      <w:r w:rsidR="00F4042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do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res de medición de los equipos</w:t>
      </w:r>
      <w:r w:rsidR="00F4042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de laboratorio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p w:rsidR="00F40420" w:rsidRPr="00FC52D2" w:rsidRDefault="00F40420" w:rsidP="00F4042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720096" w:rsidRPr="00FC52D2" w:rsidRDefault="001A65AA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Para la toma de datos en los puntos de medición se siguieron las recomendaciones que indica el</w:t>
      </w:r>
      <w:r w:rsidR="001867B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punto A.2.1, que es el aplicable cuando se utiliza iluminación artificial</w:t>
      </w:r>
      <w:r w:rsidR="00B236F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  <w:r w:rsidR="001867B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B236F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</w:t>
      </w:r>
      <w:r w:rsidR="001867B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n todas las mediciones se verificó que en las áreas que utilizaban aire acondicionado, estuviera encendido y</w:t>
      </w:r>
      <w:r w:rsidR="00940DB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="001867B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como todas las áreas consideradas utilizan exclusivamente lámparas fluorescentes</w:t>
      </w:r>
      <w:r w:rsidR="00931581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B236F5"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</w:t>
      </w:r>
      <w:r w:rsidR="00931581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luminarias de tipo luz directa </w:t>
      </w:r>
      <w:r w:rsidR="00931581" w:rsidRPr="0093158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(The Lightning Handbook, 2013, pág. 18)</w:t>
      </w:r>
      <w:r w:rsidR="001867B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, </w:t>
      </w:r>
      <w:r w:rsidR="0072009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al momento de las lecturas, ya habían transcurrido al menos veinte minutos de su encendido.</w:t>
      </w:r>
    </w:p>
    <w:p w:rsidR="003D0FA1" w:rsidRDefault="003D0FA1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A26085" w:rsidRPr="00FC52D2" w:rsidRDefault="003C0047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Las siguientes figuras identifican los puntos de medición</w:t>
      </w:r>
      <w:r w:rsidR="00B236F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en el plano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:</w:t>
      </w:r>
    </w:p>
    <w:p w:rsidR="00753E33" w:rsidRPr="00FC52D2" w:rsidRDefault="003E114E" w:rsidP="004013AA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 w:eastAsia="es-MX"/>
        </w:rPr>
        <w:lastRenderedPageBreak/>
        <w:drawing>
          <wp:inline distT="0" distB="0" distL="0" distR="0" wp14:anchorId="609A4AF2" wp14:editId="1A3A0094">
            <wp:extent cx="5612130" cy="2143125"/>
            <wp:effectExtent l="0" t="0" r="7620" b="9525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C08" w:rsidRPr="00FC52D2" w:rsidRDefault="006F5C08" w:rsidP="00AF4A4D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Figura 3.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Distribución de los puntos de muestreo en la planta alta del edificio D3.       Fuente: Elaboración propia</w:t>
      </w:r>
      <w:r w:rsidR="00B236F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p w:rsidR="00B236F5" w:rsidRPr="00FC52D2" w:rsidRDefault="00B236F5" w:rsidP="004013AA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6F5C08" w:rsidRPr="00FC52D2" w:rsidRDefault="00F26A9D" w:rsidP="004013AA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 w:eastAsia="es-MX"/>
        </w:rPr>
        <w:drawing>
          <wp:inline distT="0" distB="0" distL="0" distR="0" wp14:anchorId="3E34FF5D" wp14:editId="12356536">
            <wp:extent cx="5612130" cy="2000885"/>
            <wp:effectExtent l="0" t="0" r="762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9D" w:rsidRPr="00FC52D2" w:rsidRDefault="00F26A9D" w:rsidP="008B638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Figura 4.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Distribución de los puntos de muestreo en la planta baja del taller T1.             Fuente: Elaboración propia</w:t>
      </w:r>
      <w:r w:rsidR="000341E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p w:rsidR="00F26A9D" w:rsidRPr="00FC52D2" w:rsidRDefault="00F26A9D" w:rsidP="004013AA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460D4F" w:rsidRDefault="00753E33" w:rsidP="008B6389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Una vez tomadas las mediciones, fueron revisadas contra los mínimos permisibles y contra el nivel de reflexión el cual es referidos en la tabla 2 del punto 9.1.1 de la norma y usando el procedimiento del punto B.2.1 del apéndice B y efectuando los cálculos bajo la fórmula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s-MX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s-MX"/>
              </w:rPr>
              <m:t>f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es-MX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s-MX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s-MX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s-MX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s-MX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s-MX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s-MX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s-MX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s-MX"/>
              </w:rPr>
              <m:t xml:space="preserve"> 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es-MX"/>
          </w:rPr>
          <m:t>(100)</m:t>
        </m:r>
      </m:oMath>
      <w:r w:rsidR="00AF4A4D" w:rsidRPr="00FC52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MX"/>
        </w:rPr>
        <w:t>.</w:t>
      </w:r>
      <w:r w:rsidR="00460D4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</w:p>
    <w:p w:rsidR="003D0FA1" w:rsidRDefault="003D0FA1" w:rsidP="008B6389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MX"/>
        </w:rPr>
      </w:pPr>
    </w:p>
    <w:p w:rsidR="00563B10" w:rsidRPr="00FC52D2" w:rsidRDefault="00460D4F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MX"/>
        </w:rPr>
        <w:lastRenderedPageBreak/>
        <w:t xml:space="preserve">Concluidos </w:t>
      </w:r>
      <w:r w:rsidR="00563B1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el reconocimiento y la evaluación, se procedió a verificar </w:t>
      </w:r>
      <w:r w:rsidR="007E120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los puntos 5.8 al 5.11</w:t>
      </w:r>
      <w:r w:rsidR="00563B1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7E120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de la norma p</w:t>
      </w:r>
      <w:r w:rsidR="00563B1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ara conocer el mantenimiento </w:t>
      </w:r>
      <w:r w:rsidR="00940DB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que se les da a</w:t>
      </w:r>
      <w:r w:rsidR="00563B1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</w:t>
      </w:r>
      <w:r w:rsidR="007E120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 luminarias.</w:t>
      </w:r>
      <w:r w:rsidR="00563B1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7E120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</w:t>
      </w:r>
      <w:r w:rsidR="00563B1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demás de la inspección visual, se entrevistó al </w:t>
      </w:r>
      <w:r w:rsidR="00940DB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encargado del </w:t>
      </w:r>
      <w:r w:rsidR="00563B1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área correspondiente y se </w:t>
      </w:r>
      <w:r w:rsidR="00CF47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le </w:t>
      </w:r>
      <w:r w:rsidR="00563B1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solicitó evidencia del progra</w:t>
      </w:r>
      <w:r w:rsidR="00CF47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ma de mantenimiento a luminarias;</w:t>
      </w:r>
      <w:r w:rsidR="007E120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 existencia y ubicación de sistemas de iluminación de emergencia</w:t>
      </w:r>
      <w:r w:rsidR="00AF4A4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;</w:t>
      </w:r>
      <w:r w:rsidR="007E120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y de la forma de difusión entre los trabajadores y alumnos sobre los riesgos de trabajar con condiciones de iluminación deficiente, excedente o que provoque </w:t>
      </w:r>
      <w:r w:rsidR="00AF4A4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</w:t>
      </w:r>
      <w:r w:rsidR="007E120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eslumbramiento</w:t>
      </w:r>
      <w:r w:rsidR="00563B1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  <w:r w:rsidR="007E120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</w:p>
    <w:p w:rsidR="00460D4F" w:rsidRDefault="00460D4F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563B10" w:rsidRDefault="00563B10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Al terminar las revisiones de acuerdo a lo indicado en la norma, </w:t>
      </w:r>
      <w:r w:rsidR="00460D4F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se decidió hacer adicionalmente</w:t>
      </w:r>
      <w:r w:rsidR="00437A26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u</w:t>
      </w:r>
      <w:r w:rsidRPr="00460D4F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na prueba de medición utilizando lámparas LED en un puesto de trabajo</w:t>
      </w:r>
      <w:r w:rsidR="00437A26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y </w:t>
      </w:r>
      <w:r w:rsidR="00460D4F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</w:t>
      </w:r>
      <w:r w:rsidRPr="00460D4F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 medición en el pasillo solo utilizando la mitad de las luminarias</w:t>
      </w:r>
      <w:r w:rsidR="00460D4F" w:rsidRPr="00460D4F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  <w:r w:rsidR="00437A26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</w:p>
    <w:p w:rsidR="00460D4F" w:rsidRDefault="00460D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</w:p>
    <w:p w:rsidR="00927A42" w:rsidRPr="00FC52D2" w:rsidRDefault="00927A42" w:rsidP="008B6389">
      <w:pPr>
        <w:pStyle w:val="Prrafodelista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Resultados</w:t>
      </w:r>
    </w:p>
    <w:p w:rsidR="00AF4A4D" w:rsidRPr="00460D4F" w:rsidRDefault="00AF4A4D" w:rsidP="008B6389">
      <w:pPr>
        <w:pStyle w:val="Prrafodelista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6"/>
          <w:szCs w:val="24"/>
          <w:lang w:val="es-MX"/>
        </w:rPr>
      </w:pPr>
    </w:p>
    <w:p w:rsidR="00927A42" w:rsidRDefault="00CA759A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Las </w:t>
      </w:r>
      <w:r w:rsidR="00AF4A4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tablas siguientes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referencia</w:t>
      </w:r>
      <w:r w:rsidR="00593D1E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los valores encontrados y la evaluación de cumplimiento.</w:t>
      </w:r>
    </w:p>
    <w:p w:rsidR="00583B67" w:rsidRDefault="00583B67" w:rsidP="008B638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CA759A" w:rsidRDefault="00B14772" w:rsidP="008B638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Tabla</w:t>
      </w:r>
      <w:r w:rsidR="00F26A9D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 xml:space="preserve"> 3.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Dirección. Tarea visual: Oficina, distinción moderada de detalles. Mínimo 300 lux</w:t>
      </w:r>
      <w:r w:rsidR="000341E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tbl>
      <w:tblPr>
        <w:tblW w:w="5982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159"/>
        <w:gridCol w:w="713"/>
        <w:gridCol w:w="500"/>
        <w:gridCol w:w="500"/>
        <w:gridCol w:w="380"/>
        <w:gridCol w:w="1033"/>
        <w:gridCol w:w="983"/>
      </w:tblGrid>
      <w:tr w:rsidR="00B14772" w:rsidRPr="00BB065E" w:rsidTr="003D0FA1">
        <w:trPr>
          <w:trHeight w:val="315"/>
          <w:jc w:val="center"/>
        </w:trPr>
        <w:tc>
          <w:tcPr>
            <w:tcW w:w="5982" w:type="dxa"/>
            <w:gridSpan w:val="8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Día 1. Hora inicio:  11:10.  Hora fin: 11:30</w:t>
            </w:r>
          </w:p>
        </w:tc>
      </w:tr>
      <w:tr w:rsidR="00B14772" w:rsidRPr="00FC52D2" w:rsidTr="003D0FA1">
        <w:trPr>
          <w:trHeight w:val="690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#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Detalle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Plano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</w:tr>
      <w:tr w:rsidR="00B14772" w:rsidRPr="00FC52D2" w:rsidTr="003D0FA1">
        <w:trPr>
          <w:trHeight w:val="315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B14772" w:rsidRPr="00FC52D2" w:rsidRDefault="00160839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DR</w:t>
            </w:r>
            <w:r w:rsidR="00B14772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725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83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B14772" w:rsidRPr="00FC52D2" w:rsidTr="003D0FA1">
        <w:trPr>
          <w:trHeight w:val="315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B14772" w:rsidRPr="00FC52D2" w:rsidRDefault="00160839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DR</w:t>
            </w:r>
            <w:r w:rsidR="00B14772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759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28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B14772" w:rsidRPr="00FC52D2" w:rsidTr="003D0FA1">
        <w:trPr>
          <w:trHeight w:val="315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B14772" w:rsidRPr="00FC52D2" w:rsidRDefault="00160839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DR</w:t>
            </w:r>
            <w:r w:rsidR="00B14772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775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115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FC52D2" w:rsidRPr="00FC52D2" w:rsidTr="003D0FA1">
        <w:trPr>
          <w:trHeight w:val="315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B14772" w:rsidRPr="00FC52D2" w:rsidRDefault="00160839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DR</w:t>
            </w:r>
            <w:r w:rsidR="00B14772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1159" w:type="dxa"/>
            <w:shd w:val="clear" w:color="auto" w:fill="BFBFBF" w:themeFill="background1" w:themeFillShade="BF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monitor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420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320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76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83" w:type="dxa"/>
            <w:shd w:val="clear" w:color="auto" w:fill="BFBFBF" w:themeFill="background1" w:themeFillShade="BF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</w:tr>
      <w:tr w:rsidR="00B14772" w:rsidRPr="00FC52D2" w:rsidTr="003D0FA1">
        <w:trPr>
          <w:trHeight w:val="315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B14772" w:rsidRPr="00FC52D2" w:rsidRDefault="00160839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DR</w:t>
            </w:r>
            <w:r w:rsidR="00B14772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librero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625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19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B14772" w:rsidRPr="00FC52D2" w:rsidTr="003D0FA1">
        <w:trPr>
          <w:trHeight w:val="315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B14772" w:rsidRPr="00FC52D2" w:rsidRDefault="00160839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DR</w:t>
            </w:r>
            <w:r w:rsidR="00B14772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628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155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25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B14772" w:rsidRPr="00FC52D2" w:rsidTr="003D0FA1">
        <w:trPr>
          <w:trHeight w:val="315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B14772" w:rsidRPr="00FC52D2" w:rsidRDefault="00160839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DR</w:t>
            </w:r>
            <w:r w:rsidR="00B14772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700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26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B14772" w:rsidRPr="00FC52D2" w:rsidTr="003D0FA1">
        <w:trPr>
          <w:trHeight w:val="315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B14772" w:rsidRPr="00FC52D2" w:rsidRDefault="00160839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DR</w:t>
            </w:r>
            <w:r w:rsidR="00B14772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sillón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565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230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B14772" w:rsidRPr="00FC52D2" w:rsidTr="003D0FA1">
        <w:trPr>
          <w:trHeight w:val="315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B14772" w:rsidRPr="00FC52D2" w:rsidRDefault="00160839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DR</w:t>
            </w:r>
            <w:r w:rsidR="00B14772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648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190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29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B14772" w:rsidRPr="00FC52D2" w:rsidTr="003D0FA1">
        <w:trPr>
          <w:trHeight w:val="315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B14772" w:rsidRPr="00FC52D2" w:rsidRDefault="00160839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DR</w:t>
            </w:r>
            <w:r w:rsidR="00B14772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625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29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B14772" w:rsidRPr="00FC52D2" w:rsidTr="003D0FA1">
        <w:trPr>
          <w:trHeight w:val="315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B14772" w:rsidRPr="00FC52D2" w:rsidRDefault="00160839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DR</w:t>
            </w:r>
            <w:r w:rsidR="00B14772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670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24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</w:tbl>
    <w:p w:rsidR="00A43510" w:rsidRDefault="00A43510" w:rsidP="00CA75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583B67" w:rsidRDefault="00583B67" w:rsidP="00CA75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583B67" w:rsidRDefault="00583B67" w:rsidP="00CA75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A43510" w:rsidRPr="00FC52D2" w:rsidRDefault="00A43510" w:rsidP="008B638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lastRenderedPageBreak/>
        <w:t>Tabla</w:t>
      </w:r>
      <w:r w:rsidR="00F26A9D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 xml:space="preserve"> 4.</w:t>
      </w:r>
      <w:r w:rsidR="00F26A9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Oficina PTCs.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Tarea visual: Oficina, distinción moderada de detalles-proceso de información. Mínimo 300 lux</w:t>
      </w:r>
      <w:r w:rsidR="000341E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tbl>
      <w:tblPr>
        <w:tblW w:w="87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1084"/>
        <w:gridCol w:w="792"/>
        <w:gridCol w:w="535"/>
        <w:gridCol w:w="535"/>
        <w:gridCol w:w="380"/>
        <w:gridCol w:w="1084"/>
        <w:gridCol w:w="1084"/>
        <w:gridCol w:w="2536"/>
      </w:tblGrid>
      <w:tr w:rsidR="00A43510" w:rsidRPr="00BB065E" w:rsidTr="00A43510">
        <w:trPr>
          <w:trHeight w:val="315"/>
        </w:trPr>
        <w:tc>
          <w:tcPr>
            <w:tcW w:w="6240" w:type="dxa"/>
            <w:gridSpan w:val="8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Día 1. Hora inicio: </w:t>
            </w:r>
            <w:r w:rsidR="000B18D7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15:00.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Hora fin: 15:10 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43510" w:rsidRPr="00FC52D2" w:rsidTr="00A43510">
        <w:trPr>
          <w:trHeight w:val="675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#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Detalle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Plano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1</w:t>
            </w:r>
          </w:p>
        </w:tc>
        <w:tc>
          <w:tcPr>
            <w:tcW w:w="37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Observaciones</w:t>
            </w:r>
          </w:p>
        </w:tc>
      </w:tr>
      <w:tr w:rsidR="00A43510" w:rsidRPr="00FC52D2" w:rsidTr="00A43510">
        <w:trPr>
          <w:trHeight w:val="315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PT1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Teclado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43510" w:rsidRPr="00FC52D2" w:rsidRDefault="00437A26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523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55</w:t>
            </w:r>
          </w:p>
        </w:tc>
        <w:tc>
          <w:tcPr>
            <w:tcW w:w="37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43510" w:rsidRPr="00FC52D2" w:rsidTr="00A43510">
        <w:trPr>
          <w:trHeight w:val="315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PT2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Monitor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43510" w:rsidRPr="00FC52D2" w:rsidRDefault="00437A26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552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60</w:t>
            </w:r>
          </w:p>
        </w:tc>
        <w:tc>
          <w:tcPr>
            <w:tcW w:w="37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43510" w:rsidRPr="00FC52D2" w:rsidTr="00A43510">
        <w:trPr>
          <w:trHeight w:val="315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PT3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43510" w:rsidRPr="00FC52D2" w:rsidRDefault="00437A26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153</w:t>
            </w:r>
          </w:p>
        </w:tc>
        <w:tc>
          <w:tcPr>
            <w:tcW w:w="37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29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43510" w:rsidRPr="00FC52D2" w:rsidTr="00A43510">
        <w:trPr>
          <w:trHeight w:val="315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PT4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Librero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43510" w:rsidRPr="00FC52D2" w:rsidRDefault="00437A26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92</w:t>
            </w:r>
          </w:p>
        </w:tc>
        <w:tc>
          <w:tcPr>
            <w:tcW w:w="37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43510" w:rsidRPr="00FC52D2" w:rsidTr="00A43510">
        <w:trPr>
          <w:trHeight w:val="315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PT5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43510" w:rsidRPr="00FC52D2" w:rsidRDefault="00437A26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650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130</w:t>
            </w:r>
          </w:p>
        </w:tc>
        <w:tc>
          <w:tcPr>
            <w:tcW w:w="37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43510" w:rsidRPr="00FC52D2" w:rsidTr="00A43510">
        <w:trPr>
          <w:trHeight w:val="315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PT6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43510" w:rsidRPr="00FC52D2" w:rsidRDefault="00437A26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452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129</w:t>
            </w:r>
          </w:p>
        </w:tc>
        <w:tc>
          <w:tcPr>
            <w:tcW w:w="37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29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43510" w:rsidRPr="00FC52D2" w:rsidTr="00A43510">
        <w:trPr>
          <w:trHeight w:val="315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PT7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43510" w:rsidRPr="00FC52D2" w:rsidRDefault="00437A26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532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82</w:t>
            </w:r>
          </w:p>
        </w:tc>
        <w:tc>
          <w:tcPr>
            <w:tcW w:w="37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43510" w:rsidRPr="00FC52D2" w:rsidTr="00A43510">
        <w:trPr>
          <w:trHeight w:val="315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PT8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Teclado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43510" w:rsidRPr="00FC52D2" w:rsidRDefault="00437A26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582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95</w:t>
            </w:r>
          </w:p>
        </w:tc>
        <w:tc>
          <w:tcPr>
            <w:tcW w:w="37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FC52D2">
        <w:trPr>
          <w:trHeight w:val="315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PT9</w:t>
            </w:r>
          </w:p>
        </w:tc>
        <w:tc>
          <w:tcPr>
            <w:tcW w:w="1084" w:type="dxa"/>
            <w:shd w:val="clear" w:color="auto" w:fill="BFBFBF" w:themeFill="background1" w:themeFillShade="BF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Monitor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43510" w:rsidRPr="00FC52D2" w:rsidRDefault="00437A26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315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180</w:t>
            </w:r>
          </w:p>
        </w:tc>
        <w:tc>
          <w:tcPr>
            <w:tcW w:w="37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57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84" w:type="dxa"/>
            <w:shd w:val="clear" w:color="auto" w:fill="BFBFBF" w:themeFill="background1" w:themeFillShade="BF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FC52D2">
        <w:trPr>
          <w:trHeight w:val="315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PT10</w:t>
            </w:r>
          </w:p>
        </w:tc>
        <w:tc>
          <w:tcPr>
            <w:tcW w:w="1084" w:type="dxa"/>
            <w:shd w:val="clear" w:color="auto" w:fill="BFBFBF" w:themeFill="background1" w:themeFillShade="BF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Librero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43510" w:rsidRPr="00FC52D2" w:rsidRDefault="00437A26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255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56</w:t>
            </w:r>
          </w:p>
        </w:tc>
        <w:tc>
          <w:tcPr>
            <w:tcW w:w="37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22</w:t>
            </w:r>
          </w:p>
        </w:tc>
        <w:tc>
          <w:tcPr>
            <w:tcW w:w="1084" w:type="dxa"/>
            <w:shd w:val="clear" w:color="auto" w:fill="BFBFBF" w:themeFill="background1" w:themeFillShade="BF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A43510" w:rsidRPr="00FC52D2" w:rsidRDefault="00D97674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luminaria</w:t>
            </w:r>
            <w:r w:rsidR="00A43510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requiere limpieza</w:t>
            </w:r>
          </w:p>
        </w:tc>
      </w:tr>
      <w:tr w:rsidR="00A43510" w:rsidRPr="00FC52D2" w:rsidTr="00A43510">
        <w:trPr>
          <w:trHeight w:val="315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PT11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43510" w:rsidRPr="00FC52D2" w:rsidRDefault="00437A26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375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152</w:t>
            </w:r>
          </w:p>
        </w:tc>
        <w:tc>
          <w:tcPr>
            <w:tcW w:w="37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41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</w:tbl>
    <w:p w:rsidR="00437A26" w:rsidRDefault="00437A26" w:rsidP="00AF4A4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CA759A" w:rsidRPr="00FC52D2" w:rsidRDefault="00CA759A" w:rsidP="008B638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 xml:space="preserve">Tabla </w:t>
      </w:r>
      <w:r w:rsidR="00F26A9D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5</w:t>
      </w: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.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B1477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Pasillo planta alta.</w:t>
      </w:r>
      <w:r w:rsidR="00B14772" w:rsidRPr="00D93108">
        <w:rPr>
          <w:color w:val="000000" w:themeColor="text1"/>
          <w:lang w:val="es-MX"/>
        </w:rPr>
        <w:t xml:space="preserve"> </w:t>
      </w:r>
      <w:r w:rsidR="00B1477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Tarea visual: Pasillo- en interiores-áreas de circulación. Mínimo 100 lux</w:t>
      </w:r>
      <w:r w:rsidR="00AF4A4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tbl>
      <w:tblPr>
        <w:tblW w:w="781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915"/>
        <w:gridCol w:w="730"/>
        <w:gridCol w:w="500"/>
        <w:gridCol w:w="500"/>
        <w:gridCol w:w="380"/>
        <w:gridCol w:w="1069"/>
        <w:gridCol w:w="1018"/>
        <w:gridCol w:w="2396"/>
      </w:tblGrid>
      <w:tr w:rsidR="00B14772" w:rsidRPr="00BB065E" w:rsidTr="00F26A9D">
        <w:trPr>
          <w:trHeight w:val="315"/>
          <w:jc w:val="center"/>
        </w:trPr>
        <w:tc>
          <w:tcPr>
            <w:tcW w:w="5420" w:type="dxa"/>
            <w:gridSpan w:val="8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Día 1. Hora inicio:  17:26.  Hora fin: 17:40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B14772" w:rsidRPr="00FC52D2" w:rsidTr="00F26A9D">
        <w:trPr>
          <w:trHeight w:val="630"/>
          <w:jc w:val="center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#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Detalle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Plano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1</w:t>
            </w:r>
          </w:p>
        </w:tc>
        <w:tc>
          <w:tcPr>
            <w:tcW w:w="342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Observaciones</w:t>
            </w:r>
          </w:p>
        </w:tc>
      </w:tr>
      <w:tr w:rsidR="00B14772" w:rsidRPr="00FC52D2" w:rsidTr="00F26A9D">
        <w:trPr>
          <w:trHeight w:val="315"/>
          <w:jc w:val="center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715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186</w:t>
            </w:r>
          </w:p>
        </w:tc>
        <w:tc>
          <w:tcPr>
            <w:tcW w:w="342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B14772" w:rsidRPr="00FC52D2" w:rsidTr="00F26A9D">
        <w:trPr>
          <w:trHeight w:val="315"/>
          <w:jc w:val="center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895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208</w:t>
            </w:r>
          </w:p>
        </w:tc>
        <w:tc>
          <w:tcPr>
            <w:tcW w:w="342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23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B14772" w:rsidRPr="00FC52D2" w:rsidTr="00F26A9D">
        <w:trPr>
          <w:trHeight w:val="315"/>
          <w:jc w:val="center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335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114</w:t>
            </w:r>
          </w:p>
        </w:tc>
        <w:tc>
          <w:tcPr>
            <w:tcW w:w="342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 lámparas no funcionan</w:t>
            </w:r>
          </w:p>
        </w:tc>
      </w:tr>
      <w:tr w:rsidR="00B14772" w:rsidRPr="00FC52D2" w:rsidTr="00F26A9D">
        <w:trPr>
          <w:trHeight w:val="315"/>
          <w:jc w:val="center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385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110</w:t>
            </w:r>
          </w:p>
        </w:tc>
        <w:tc>
          <w:tcPr>
            <w:tcW w:w="342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29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 lámparas no funcionan</w:t>
            </w:r>
          </w:p>
        </w:tc>
      </w:tr>
      <w:tr w:rsidR="00FC52D2" w:rsidRPr="00FC52D2" w:rsidTr="00FC52D2">
        <w:trPr>
          <w:trHeight w:val="315"/>
          <w:jc w:val="center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P5</w:t>
            </w:r>
          </w:p>
        </w:tc>
        <w:tc>
          <w:tcPr>
            <w:tcW w:w="915" w:type="dxa"/>
            <w:shd w:val="clear" w:color="auto" w:fill="BFBFBF" w:themeFill="background1" w:themeFillShade="BF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80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66</w:t>
            </w:r>
          </w:p>
        </w:tc>
        <w:tc>
          <w:tcPr>
            <w:tcW w:w="342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83</w:t>
            </w:r>
          </w:p>
        </w:tc>
        <w:tc>
          <w:tcPr>
            <w:tcW w:w="1069" w:type="dxa"/>
            <w:shd w:val="clear" w:color="auto" w:fill="BFBFBF" w:themeFill="background1" w:themeFillShade="BF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8" w:type="dxa"/>
            <w:shd w:val="clear" w:color="auto" w:fill="BFBFBF" w:themeFill="background1" w:themeFillShade="BF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 lámparas no funcionan</w:t>
            </w:r>
          </w:p>
        </w:tc>
      </w:tr>
      <w:tr w:rsidR="00B14772" w:rsidRPr="00FC52D2" w:rsidTr="00F26A9D">
        <w:trPr>
          <w:trHeight w:val="315"/>
          <w:jc w:val="center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282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80</w:t>
            </w:r>
          </w:p>
        </w:tc>
        <w:tc>
          <w:tcPr>
            <w:tcW w:w="342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28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 lámparas no funcionan</w:t>
            </w:r>
          </w:p>
        </w:tc>
      </w:tr>
      <w:tr w:rsidR="00B14772" w:rsidRPr="00FC52D2" w:rsidTr="00F26A9D">
        <w:trPr>
          <w:trHeight w:val="315"/>
          <w:jc w:val="center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495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105</w:t>
            </w:r>
          </w:p>
        </w:tc>
        <w:tc>
          <w:tcPr>
            <w:tcW w:w="342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B14772" w:rsidRPr="00FC52D2" w:rsidTr="00F26A9D">
        <w:trPr>
          <w:trHeight w:val="315"/>
          <w:jc w:val="center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410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92</w:t>
            </w:r>
          </w:p>
        </w:tc>
        <w:tc>
          <w:tcPr>
            <w:tcW w:w="342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 lámparas no funciona</w:t>
            </w:r>
          </w:p>
        </w:tc>
      </w:tr>
      <w:tr w:rsidR="00B14772" w:rsidRPr="00FC52D2" w:rsidTr="00F26A9D">
        <w:trPr>
          <w:trHeight w:val="315"/>
          <w:jc w:val="center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B14772" w:rsidRPr="00FC52D2" w:rsidRDefault="00437A26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362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110</w:t>
            </w:r>
          </w:p>
        </w:tc>
        <w:tc>
          <w:tcPr>
            <w:tcW w:w="342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B14772" w:rsidRPr="00FC52D2" w:rsidRDefault="00B14772" w:rsidP="00B1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 lámparas no funcionan</w:t>
            </w:r>
          </w:p>
        </w:tc>
      </w:tr>
    </w:tbl>
    <w:p w:rsidR="0036596B" w:rsidRDefault="0036596B" w:rsidP="00CA75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196B42" w:rsidRPr="00FC52D2" w:rsidRDefault="00196B42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B14772" w:rsidRPr="00FC52D2" w:rsidRDefault="00B14772" w:rsidP="008B638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lastRenderedPageBreak/>
        <w:t xml:space="preserve">Tabla </w:t>
      </w:r>
      <w:r w:rsidR="00F26A9D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6</w:t>
      </w:r>
      <w:r w:rsidR="00F104E3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  <w:r w:rsidR="00F26A9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Salón TA. </w:t>
      </w:r>
      <w:r w:rsidR="00A4351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Tarea visual: Aula, distinción moderada de detalles. Mínimo 300 lux</w:t>
      </w:r>
      <w:r w:rsidR="000341E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tbl>
      <w:tblPr>
        <w:tblW w:w="85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1285"/>
        <w:gridCol w:w="791"/>
        <w:gridCol w:w="535"/>
        <w:gridCol w:w="535"/>
        <w:gridCol w:w="380"/>
        <w:gridCol w:w="1104"/>
        <w:gridCol w:w="1090"/>
        <w:gridCol w:w="2456"/>
      </w:tblGrid>
      <w:tr w:rsidR="00A43510" w:rsidRPr="00BB065E" w:rsidTr="00F26A9D">
        <w:trPr>
          <w:trHeight w:val="315"/>
        </w:trPr>
        <w:tc>
          <w:tcPr>
            <w:tcW w:w="6114" w:type="dxa"/>
            <w:gridSpan w:val="8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Día 2. Hora inicio:  11:32.  Hora fin: 11:42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43510" w:rsidRPr="00FC52D2" w:rsidTr="00F26A9D">
        <w:trPr>
          <w:trHeight w:val="70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#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Detalle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Plano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1104" w:type="dxa"/>
            <w:shd w:val="clear" w:color="auto" w:fill="auto"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1090" w:type="dxa"/>
            <w:shd w:val="clear" w:color="auto" w:fill="auto"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Observaciones</w:t>
            </w:r>
          </w:p>
        </w:tc>
      </w:tr>
      <w:tr w:rsidR="00A43510" w:rsidRPr="00FC52D2" w:rsidTr="00F26A9D">
        <w:trPr>
          <w:trHeight w:val="31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S1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pupitre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365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46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1 lámpara no funciona. </w:t>
            </w:r>
          </w:p>
        </w:tc>
      </w:tr>
      <w:tr w:rsidR="00A43510" w:rsidRPr="00FC52D2" w:rsidTr="00F26A9D">
        <w:trPr>
          <w:trHeight w:val="31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S2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pupitre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572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1 lámpara no funciona. </w:t>
            </w:r>
          </w:p>
        </w:tc>
      </w:tr>
      <w:tr w:rsidR="00A43510" w:rsidRPr="00FC52D2" w:rsidTr="00F26A9D">
        <w:trPr>
          <w:trHeight w:val="31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S3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pupitre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377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2 lámparas no funcionan. </w:t>
            </w:r>
          </w:p>
        </w:tc>
      </w:tr>
      <w:tr w:rsidR="00A43510" w:rsidRPr="00FC52D2" w:rsidTr="00F26A9D">
        <w:trPr>
          <w:trHeight w:val="31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pupitre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350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57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2 lámparas no funcionan. </w:t>
            </w:r>
          </w:p>
        </w:tc>
      </w:tr>
      <w:tr w:rsidR="00A43510" w:rsidRPr="00FC52D2" w:rsidTr="00F26A9D">
        <w:trPr>
          <w:trHeight w:val="31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S5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pupitre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497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1 lámpara no funciona. </w:t>
            </w:r>
          </w:p>
        </w:tc>
      </w:tr>
      <w:tr w:rsidR="00A43510" w:rsidRPr="00FC52D2" w:rsidTr="00F26A9D">
        <w:trPr>
          <w:trHeight w:val="31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S6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pupitre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488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43510" w:rsidRPr="00FC52D2" w:rsidTr="00F26A9D">
        <w:trPr>
          <w:trHeight w:val="31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S7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pupitre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308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FC52D2">
        <w:trPr>
          <w:trHeight w:val="31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S8</w:t>
            </w:r>
          </w:p>
        </w:tc>
        <w:tc>
          <w:tcPr>
            <w:tcW w:w="1285" w:type="dxa"/>
            <w:shd w:val="clear" w:color="auto" w:fill="BFBFBF" w:themeFill="background1" w:themeFillShade="BF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pizarrón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415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240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58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90" w:type="dxa"/>
            <w:shd w:val="clear" w:color="auto" w:fill="BFBFBF" w:themeFill="background1" w:themeFillShade="BF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43510" w:rsidRPr="00FC52D2" w:rsidTr="00F26A9D">
        <w:trPr>
          <w:trHeight w:val="315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S9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648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190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29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:rsidR="00A43510" w:rsidRPr="00FC52D2" w:rsidRDefault="00A43510" w:rsidP="00A4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</w:tbl>
    <w:p w:rsidR="00F842C4" w:rsidRPr="00FC52D2" w:rsidRDefault="00F842C4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26A9D" w:rsidRPr="00FC52D2" w:rsidRDefault="00F26A9D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A43510" w:rsidRDefault="00A43510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 xml:space="preserve">Tabla </w:t>
      </w:r>
      <w:r w:rsidR="00CB5739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7</w:t>
      </w:r>
      <w:r w:rsidR="001441D8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.</w:t>
      </w:r>
      <w:r w:rsidR="001441D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Servicios Tecnológicos. </w:t>
      </w:r>
      <w:r w:rsidR="0076066D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Tarea visual: Oficina, distinción moderada de detalles-proceso de información. Mínimo 300 lux</w:t>
      </w:r>
      <w:r w:rsidR="000341E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p w:rsidR="00437A26" w:rsidRPr="00FC52D2" w:rsidRDefault="00437A26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tbl>
      <w:tblPr>
        <w:tblW w:w="67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1433"/>
        <w:gridCol w:w="835"/>
        <w:gridCol w:w="564"/>
        <w:gridCol w:w="564"/>
        <w:gridCol w:w="391"/>
        <w:gridCol w:w="1165"/>
        <w:gridCol w:w="1165"/>
      </w:tblGrid>
      <w:tr w:rsidR="001441D8" w:rsidRPr="00BB065E" w:rsidTr="001441D8">
        <w:trPr>
          <w:trHeight w:val="315"/>
          <w:jc w:val="center"/>
        </w:trPr>
        <w:tc>
          <w:tcPr>
            <w:tcW w:w="6720" w:type="dxa"/>
            <w:gridSpan w:val="8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Día 2. Hora inicio:  15:00.  Hora fin:15:20 </w:t>
            </w:r>
          </w:p>
        </w:tc>
      </w:tr>
      <w:tr w:rsidR="001441D8" w:rsidRPr="00FC52D2" w:rsidTr="001441D8">
        <w:trPr>
          <w:trHeight w:val="675"/>
          <w:jc w:val="center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#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Detalle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Plano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1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1165" w:type="dxa"/>
            <w:shd w:val="clear" w:color="auto" w:fill="auto"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1165" w:type="dxa"/>
            <w:shd w:val="clear" w:color="auto" w:fill="auto"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</w:tr>
      <w:tr w:rsidR="001441D8" w:rsidRPr="00FC52D2" w:rsidTr="001441D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1441D8" w:rsidRPr="00FC52D2" w:rsidRDefault="00437A26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560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114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1441D8" w:rsidRPr="00FC52D2" w:rsidTr="001441D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mesa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1441D8" w:rsidRPr="00FC52D2" w:rsidRDefault="00437A26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322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48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1441D8" w:rsidRPr="00FC52D2" w:rsidTr="001441D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teclado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1441D8" w:rsidRPr="00FC52D2" w:rsidRDefault="00437A26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456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73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1441D8" w:rsidRPr="00FC52D2" w:rsidTr="001441D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1441D8" w:rsidRPr="00FC52D2" w:rsidRDefault="00437A26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535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115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1441D8" w:rsidRPr="00FC52D2" w:rsidTr="001441D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monitor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1441D8" w:rsidRPr="00FC52D2" w:rsidRDefault="00437A26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306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84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2D4E46" w:rsidRPr="00FC52D2" w:rsidTr="002D4E46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T6</w:t>
            </w:r>
          </w:p>
        </w:tc>
        <w:tc>
          <w:tcPr>
            <w:tcW w:w="1433" w:type="dxa"/>
            <w:shd w:val="clear" w:color="auto" w:fill="BFBFBF" w:themeFill="background1" w:themeFillShade="BF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teclado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1441D8" w:rsidRPr="00FC52D2" w:rsidRDefault="00437A26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226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36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</w:t>
            </w:r>
          </w:p>
        </w:tc>
        <w:tc>
          <w:tcPr>
            <w:tcW w:w="1165" w:type="dxa"/>
            <w:shd w:val="clear" w:color="auto" w:fill="BFBFBF" w:themeFill="background1" w:themeFillShade="BF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2D4E46" w:rsidRPr="00FC52D2" w:rsidTr="002D4E46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T7</w:t>
            </w:r>
          </w:p>
        </w:tc>
        <w:tc>
          <w:tcPr>
            <w:tcW w:w="1433" w:type="dxa"/>
            <w:shd w:val="clear" w:color="auto" w:fill="BFBFBF" w:themeFill="background1" w:themeFillShade="BF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monitor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1441D8" w:rsidRPr="00FC52D2" w:rsidRDefault="00437A26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108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61</w:t>
            </w:r>
          </w:p>
        </w:tc>
        <w:tc>
          <w:tcPr>
            <w:tcW w:w="1165" w:type="dxa"/>
            <w:shd w:val="clear" w:color="auto" w:fill="BFBFBF" w:themeFill="background1" w:themeFillShade="BF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165" w:type="dxa"/>
            <w:shd w:val="clear" w:color="auto" w:fill="BFBFBF" w:themeFill="background1" w:themeFillShade="BF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</w:tr>
      <w:tr w:rsidR="001441D8" w:rsidRPr="00FC52D2" w:rsidTr="001441D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1441D8" w:rsidRPr="00FC52D2" w:rsidRDefault="00437A26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389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92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1441D8" w:rsidRPr="00FC52D2" w:rsidTr="001441D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mesa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1441D8" w:rsidRPr="00FC52D2" w:rsidRDefault="00437A26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585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145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1441D8" w:rsidRPr="00FC52D2" w:rsidTr="001441D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mesa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1441D8" w:rsidRPr="00FC52D2" w:rsidRDefault="00437A26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685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118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1441D8" w:rsidRPr="00FC52D2" w:rsidTr="001441D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T11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impresora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1441D8" w:rsidRPr="00FC52D2" w:rsidRDefault="00437A26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578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118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1441D8" w:rsidRPr="00FC52D2" w:rsidRDefault="001441D8" w:rsidP="0014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</w:tbl>
    <w:p w:rsidR="00CB5739" w:rsidRPr="00CB5739" w:rsidRDefault="00CB5739" w:rsidP="00DC7EE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16"/>
          <w:szCs w:val="24"/>
          <w:lang w:val="es-MX"/>
        </w:rPr>
      </w:pPr>
    </w:p>
    <w:p w:rsidR="00437A26" w:rsidRDefault="00437A26" w:rsidP="008B638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3D0FA1" w:rsidRDefault="003D0FA1" w:rsidP="008B638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412E79" w:rsidRPr="00FC52D2" w:rsidRDefault="00412E79" w:rsidP="008B638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lastRenderedPageBreak/>
        <w:t xml:space="preserve">Tabla </w:t>
      </w:r>
      <w:r w:rsidR="00437A26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8</w:t>
      </w:r>
      <w:r w:rsidR="00CE5DA6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.</w:t>
      </w:r>
      <w:r w:rsidR="00CE5DA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Laboratorio de Idiomas.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Tarea visual: Sala de cómputo, distinción clara de detalles-proceso de información. Mínimo 500 lux</w:t>
      </w:r>
      <w:r w:rsidR="00DC7EE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tbl>
      <w:tblPr>
        <w:tblW w:w="843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1686"/>
        <w:gridCol w:w="687"/>
        <w:gridCol w:w="500"/>
        <w:gridCol w:w="500"/>
        <w:gridCol w:w="500"/>
        <w:gridCol w:w="920"/>
        <w:gridCol w:w="931"/>
        <w:gridCol w:w="2396"/>
      </w:tblGrid>
      <w:tr w:rsidR="00412E79" w:rsidRPr="00BB065E" w:rsidTr="00412E79">
        <w:trPr>
          <w:trHeight w:val="315"/>
        </w:trPr>
        <w:tc>
          <w:tcPr>
            <w:tcW w:w="6040" w:type="dxa"/>
            <w:gridSpan w:val="8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Día 3. Hora inicio:  12:30.  Hora fin: 13:00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412E79">
        <w:trPr>
          <w:trHeight w:val="720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#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Detalle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Plano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1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920" w:type="dxa"/>
            <w:shd w:val="clear" w:color="auto" w:fill="auto"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931" w:type="dxa"/>
            <w:shd w:val="clear" w:color="auto" w:fill="auto"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Observaciones</w:t>
            </w: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L1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izarrón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515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400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31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L2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448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36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L3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454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215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47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412E79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L4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920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165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L5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380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1 lámpara no funciona. </w:t>
            </w: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L6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315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54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L7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ared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323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62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L8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columna/pared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320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68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L9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458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32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L10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266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38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412E79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L11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750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L12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424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38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412E79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L13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740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65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L14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350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43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412E79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L15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530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45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L16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310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132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43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L17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columna/pared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278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36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412E79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L18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675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51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L19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492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412E79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L20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793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L21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412E79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L22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862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57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L23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427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28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L24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274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124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45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L25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463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53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L26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 lámparas no funcionan</w:t>
            </w: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L27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88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154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175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412E79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L28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563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51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L29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350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265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76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412E79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L30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784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74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2D4E46" w:rsidRPr="00FC52D2" w:rsidTr="002D4E46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L31</w:t>
            </w:r>
          </w:p>
        </w:tc>
        <w:tc>
          <w:tcPr>
            <w:tcW w:w="1686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480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44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412E79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L32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794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72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412E79">
        <w:trPr>
          <w:trHeight w:val="315"/>
        </w:trPr>
        <w:tc>
          <w:tcPr>
            <w:tcW w:w="482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L33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565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190</w:t>
            </w:r>
          </w:p>
        </w:tc>
        <w:tc>
          <w:tcPr>
            <w:tcW w:w="45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</w:tbl>
    <w:p w:rsidR="00412E79" w:rsidRPr="00FC52D2" w:rsidRDefault="00412E79" w:rsidP="008B638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lastRenderedPageBreak/>
        <w:t xml:space="preserve">Tabla </w:t>
      </w:r>
      <w:r w:rsidR="00437A26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9</w:t>
      </w:r>
      <w:r w:rsidR="00CE5DA6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.</w:t>
      </w:r>
      <w:r w:rsidR="00CE5DA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Laboratorio de Informática.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Tarea visual: Sala de cómputo, distinción clara de detalles-proceso de información. Mínimo 500 lux</w:t>
      </w:r>
      <w:r w:rsidR="00DE5C0D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tbl>
      <w:tblPr>
        <w:tblW w:w="813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94"/>
        <w:gridCol w:w="735"/>
        <w:gridCol w:w="500"/>
        <w:gridCol w:w="500"/>
        <w:gridCol w:w="380"/>
        <w:gridCol w:w="1013"/>
        <w:gridCol w:w="1013"/>
        <w:gridCol w:w="2396"/>
      </w:tblGrid>
      <w:tr w:rsidR="00412E79" w:rsidRPr="00BB065E" w:rsidTr="00CE5DA6">
        <w:trPr>
          <w:trHeight w:val="315"/>
          <w:jc w:val="center"/>
        </w:trPr>
        <w:tc>
          <w:tcPr>
            <w:tcW w:w="5740" w:type="dxa"/>
            <w:gridSpan w:val="8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Día 3. Hora inicio:  17:30.  Hora fin: 18:10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CE5DA6">
        <w:trPr>
          <w:trHeight w:val="70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#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Detalle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Plano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1013" w:type="dxa"/>
            <w:shd w:val="clear" w:color="auto" w:fill="auto"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1013" w:type="dxa"/>
            <w:shd w:val="clear" w:color="auto" w:fill="auto"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Observaciones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I1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195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I2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172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 lámparas no funcionan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I3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142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 lámparas no funcionan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I4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128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96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I5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400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I6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220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23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I7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350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300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86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I8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230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52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CE5DA6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502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I10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306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35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CE5DA6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I11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760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I12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317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33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CE5DA6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I13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805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I14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400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29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CE5DA6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I15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760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I16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432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140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32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I17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izarrón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220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75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I18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402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I19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205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58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CE5DA6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I20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646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I21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292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39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CE5DA6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I22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673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I23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445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29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CE5DA6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I24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732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29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I25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486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I26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395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33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I27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463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I28</w:t>
            </w:r>
          </w:p>
        </w:tc>
        <w:tc>
          <w:tcPr>
            <w:tcW w:w="1194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263174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412E7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422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27</w:t>
            </w:r>
          </w:p>
        </w:tc>
        <w:tc>
          <w:tcPr>
            <w:tcW w:w="1013" w:type="dxa"/>
            <w:shd w:val="clear" w:color="auto" w:fill="BFBFBF" w:themeFill="background1" w:themeFillShade="BF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412E79" w:rsidRPr="00FC52D2" w:rsidTr="00CE5DA6">
        <w:trPr>
          <w:trHeight w:val="315"/>
          <w:jc w:val="center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I29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715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12E79" w:rsidRPr="00FC52D2" w:rsidRDefault="00412E79" w:rsidP="0041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</w:tbl>
    <w:p w:rsidR="00412E79" w:rsidRPr="00FC52D2" w:rsidRDefault="00412E79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412E79" w:rsidRPr="00FC52D2" w:rsidRDefault="00412E79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1D4219" w:rsidRPr="00FC52D2" w:rsidRDefault="001D4219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E5C0D" w:rsidRPr="00FC52D2" w:rsidRDefault="00DE5C0D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lastRenderedPageBreak/>
        <w:t xml:space="preserve">Los alumnos realizan sus prácticas de laboratorio en un edificio diferente al de clase. El taller 1 cuenta con los laboratorios de Tecnología del Agua y Química Analítica. </w:t>
      </w:r>
    </w:p>
    <w:p w:rsidR="00DE5C0D" w:rsidRPr="00FC52D2" w:rsidRDefault="00DE5C0D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E5C0D" w:rsidRPr="00FC52D2" w:rsidRDefault="00DE5C0D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Estos laboratorios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tienen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luminarias diferentes a las que se </w:t>
      </w:r>
      <w:r w:rsidR="00897607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ubican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en el edificio D3, son </w:t>
      </w:r>
      <w:r w:rsidR="00897607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lámparas tipo fluorescente de 28W. Las paredes son de concreto sin acabado, pintadas en tono satinado color gris claro. Ambos laboratorios cuentan con equipos de aire acondicionado. Las tablas </w:t>
      </w:r>
      <w:r w:rsidR="00897607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10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y 1</w:t>
      </w:r>
      <w:r w:rsidR="00897607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1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 presentan las lecturas recabadas.</w:t>
      </w:r>
    </w:p>
    <w:p w:rsidR="00DE5C0D" w:rsidRDefault="00DE5C0D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412E79" w:rsidRDefault="00412E79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Tabla</w:t>
      </w:r>
      <w:r w:rsidR="003A2B09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 xml:space="preserve"> </w:t>
      </w:r>
      <w:r w:rsidR="00CE5DA6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1</w:t>
      </w:r>
      <w:r w:rsidR="00897607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0</w:t>
      </w:r>
      <w:r w:rsidR="00CE5DA6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.</w:t>
      </w:r>
      <w:r w:rsidR="00CE5DA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Laboratorio Tecnología del Agua. </w:t>
      </w:r>
      <w:r w:rsidR="003A2B09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Tarea visual: Laboratorio, distinción clara de detalles-equipo de laboratorio. Mínimo 500 lux</w:t>
      </w:r>
      <w:r w:rsidR="00DE5C0D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p w:rsidR="00DE5C0D" w:rsidRPr="00FC52D2" w:rsidRDefault="00DE5C0D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tbl>
      <w:tblPr>
        <w:tblW w:w="579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516"/>
        <w:gridCol w:w="687"/>
        <w:gridCol w:w="500"/>
        <w:gridCol w:w="500"/>
        <w:gridCol w:w="380"/>
        <w:gridCol w:w="922"/>
        <w:gridCol w:w="910"/>
      </w:tblGrid>
      <w:tr w:rsidR="003A2B09" w:rsidRPr="00BB065E" w:rsidTr="001D4219">
        <w:trPr>
          <w:trHeight w:val="315"/>
          <w:jc w:val="center"/>
        </w:trPr>
        <w:tc>
          <w:tcPr>
            <w:tcW w:w="5795" w:type="dxa"/>
            <w:gridSpan w:val="8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Día 3. Hora inicio:  15:03.  Hora fin: 16:00</w:t>
            </w:r>
          </w:p>
        </w:tc>
      </w:tr>
      <w:tr w:rsidR="003A2B09" w:rsidRPr="00FC52D2" w:rsidTr="001D4219">
        <w:trPr>
          <w:trHeight w:val="69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#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Detalle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Plano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1516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refrigerador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220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187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85</w:t>
            </w:r>
          </w:p>
        </w:tc>
        <w:tc>
          <w:tcPr>
            <w:tcW w:w="922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1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1516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Ó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smosis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220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45</w:t>
            </w:r>
          </w:p>
        </w:tc>
        <w:tc>
          <w:tcPr>
            <w:tcW w:w="922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1516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t. aeróbico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336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36</w:t>
            </w:r>
          </w:p>
        </w:tc>
        <w:tc>
          <w:tcPr>
            <w:tcW w:w="922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1516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stante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28</w:t>
            </w:r>
          </w:p>
        </w:tc>
        <w:tc>
          <w:tcPr>
            <w:tcW w:w="922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1516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mesa 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398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28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922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1516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mesa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398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194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49</w:t>
            </w:r>
          </w:p>
        </w:tc>
        <w:tc>
          <w:tcPr>
            <w:tcW w:w="922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3A2B09" w:rsidRPr="00FC52D2" w:rsidTr="001D4219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660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49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3A2B09" w:rsidRPr="00FC52D2" w:rsidTr="001D4219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mesa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660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320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48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1516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t. fís-químico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320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56</w:t>
            </w:r>
          </w:p>
        </w:tc>
        <w:tc>
          <w:tcPr>
            <w:tcW w:w="922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1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</w:tr>
      <w:tr w:rsidR="003A2B09" w:rsidRPr="00FC52D2" w:rsidTr="001D4219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t. fís-químico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526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19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</w:t>
            </w:r>
          </w:p>
        </w:tc>
        <w:tc>
          <w:tcPr>
            <w:tcW w:w="1516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368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26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922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</w:t>
            </w:r>
          </w:p>
        </w:tc>
        <w:tc>
          <w:tcPr>
            <w:tcW w:w="1516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mesa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368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46</w:t>
            </w:r>
          </w:p>
        </w:tc>
        <w:tc>
          <w:tcPr>
            <w:tcW w:w="922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1516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412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19</w:t>
            </w:r>
          </w:p>
        </w:tc>
        <w:tc>
          <w:tcPr>
            <w:tcW w:w="922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14</w:t>
            </w:r>
          </w:p>
        </w:tc>
        <w:tc>
          <w:tcPr>
            <w:tcW w:w="1516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scritorio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225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45</w:t>
            </w:r>
          </w:p>
        </w:tc>
        <w:tc>
          <w:tcPr>
            <w:tcW w:w="922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D6FDA" w:rsidRPr="00FC52D2" w:rsidTr="00AD6FDA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</w:t>
            </w:r>
          </w:p>
        </w:tc>
        <w:tc>
          <w:tcPr>
            <w:tcW w:w="1516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arja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922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</w:tbl>
    <w:p w:rsidR="001D4219" w:rsidRDefault="001D4219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E5C0D" w:rsidRDefault="00DE5C0D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E5C0D" w:rsidRDefault="00DE5C0D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E5C0D" w:rsidRDefault="00DE5C0D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E5C0D" w:rsidRDefault="00DE5C0D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3A2B09" w:rsidRDefault="003A2B09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lastRenderedPageBreak/>
        <w:t xml:space="preserve">Tabla </w:t>
      </w:r>
      <w:r w:rsidR="00CE5DA6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1</w:t>
      </w:r>
      <w:r w:rsidR="00897607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1</w:t>
      </w:r>
      <w:r w:rsidR="00CE5DA6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.</w:t>
      </w:r>
      <w:r w:rsidR="00CE5DA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Laboratorio Química Analítica.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Tarea visual: Laboratorio, distinción clara de detalles-equipo de laboratorio. Mínimo 500 lux</w:t>
      </w:r>
      <w:r w:rsidR="00DE5C0D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p w:rsidR="00DE5C0D" w:rsidRPr="00FC52D2" w:rsidRDefault="00DE5C0D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tbl>
      <w:tblPr>
        <w:tblW w:w="631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069"/>
        <w:gridCol w:w="687"/>
        <w:gridCol w:w="500"/>
        <w:gridCol w:w="500"/>
        <w:gridCol w:w="380"/>
        <w:gridCol w:w="900"/>
        <w:gridCol w:w="900"/>
      </w:tblGrid>
      <w:tr w:rsidR="003A2B09" w:rsidRPr="00BB065E" w:rsidTr="00946133">
        <w:trPr>
          <w:trHeight w:val="315"/>
          <w:jc w:val="center"/>
        </w:trPr>
        <w:tc>
          <w:tcPr>
            <w:tcW w:w="6316" w:type="dxa"/>
            <w:gridSpan w:val="8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Día 3. Hora inicio:  16:16.  Hora fin: 16:45</w:t>
            </w:r>
          </w:p>
        </w:tc>
      </w:tr>
      <w:tr w:rsidR="003A2B09" w:rsidRPr="00FC52D2" w:rsidTr="00946133">
        <w:trPr>
          <w:trHeight w:val="69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#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Detalle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Plano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Q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186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24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Q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mesa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186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43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Q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Q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mesa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49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Q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406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Q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mesa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406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240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59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</w:tr>
      <w:tr w:rsidR="003A2B09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Q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613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38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Q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mesa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613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310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Q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435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34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Q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mesa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435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235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54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</w:tr>
      <w:tr w:rsidR="003A2B09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Q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538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87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DE5C0D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Q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icroscopios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378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mesa micros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288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136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47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14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arja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23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ncubadora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187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56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30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ufla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26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1D421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B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alanza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142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36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25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A1019E" w:rsidRPr="00FC52D2" w:rsidTr="00946133">
        <w:trPr>
          <w:trHeight w:val="315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</w:t>
            </w:r>
          </w:p>
        </w:tc>
        <w:tc>
          <w:tcPr>
            <w:tcW w:w="2069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mesa balanza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88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51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</w:tr>
    </w:tbl>
    <w:p w:rsidR="003A2B09" w:rsidRPr="00FC52D2" w:rsidRDefault="003A2B09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CF47D2" w:rsidRDefault="00CF47D2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3B4A7A" w:rsidRPr="00FC52D2" w:rsidRDefault="00CB5739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Nota. Los resultados de las mediciones en las áreas de pasillo recepción y biblioteca no se muestran </w:t>
      </w:r>
      <w:r w:rsidR="00CF47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en este documento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debido a que todos los puntos de lectura mostraron cumplimiento.</w:t>
      </w:r>
      <w:r w:rsidR="00DE5C0D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En el caso de los sanitarios, cada uno presentó una lectura con incumplimiento, debido a la ausencia de luminaria</w:t>
      </w:r>
      <w:r w:rsidR="000728C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en un plano de trabajo</w:t>
      </w:r>
      <w:r w:rsidR="00DE5C0D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. </w:t>
      </w:r>
    </w:p>
    <w:p w:rsidR="003B4A7A" w:rsidRPr="00FC52D2" w:rsidRDefault="003B4A7A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3B4A7A" w:rsidRPr="00FC52D2" w:rsidRDefault="003B4A7A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3B4A7A" w:rsidRPr="00FC52D2" w:rsidRDefault="003B4A7A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3B4A7A" w:rsidRPr="00FC52D2" w:rsidRDefault="003B4A7A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3B4A7A" w:rsidRPr="00FC52D2" w:rsidRDefault="003B4A7A" w:rsidP="00A435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3A2B09" w:rsidRPr="00FC52D2" w:rsidRDefault="003A2B09" w:rsidP="008B638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lastRenderedPageBreak/>
        <w:t xml:space="preserve">Tabla </w:t>
      </w:r>
      <w:r w:rsidR="00CE5DA6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1</w:t>
      </w:r>
      <w:r w:rsidR="00897607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2</w:t>
      </w:r>
      <w:r w:rsidR="00CE5DA6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.</w:t>
      </w:r>
      <w:r w:rsidR="00CE5DA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Sala de maestros.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Tarea visual: Oficina, distinción moderada de detalles-proceso de información. Mínimo 300 lux</w:t>
      </w:r>
      <w:r w:rsidR="000341E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tbl>
      <w:tblPr>
        <w:tblW w:w="89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1923"/>
        <w:gridCol w:w="687"/>
        <w:gridCol w:w="620"/>
        <w:gridCol w:w="500"/>
        <w:gridCol w:w="380"/>
        <w:gridCol w:w="900"/>
        <w:gridCol w:w="900"/>
        <w:gridCol w:w="2396"/>
      </w:tblGrid>
      <w:tr w:rsidR="00FC52D2" w:rsidRPr="00BB065E" w:rsidTr="00B12E6B">
        <w:trPr>
          <w:trHeight w:val="315"/>
          <w:jc w:val="center"/>
        </w:trPr>
        <w:tc>
          <w:tcPr>
            <w:tcW w:w="6504" w:type="dxa"/>
            <w:gridSpan w:val="8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Día 4. Hora inicio:  17:17.  Hora fin: 18:20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660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#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Detalle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Plano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Observaciones</w:t>
            </w: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M1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574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137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M2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390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M3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115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M4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565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140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A1019E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M5</w:t>
            </w:r>
          </w:p>
        </w:tc>
        <w:tc>
          <w:tcPr>
            <w:tcW w:w="1923" w:type="dxa"/>
            <w:shd w:val="clear" w:color="auto" w:fill="BFBFBF" w:themeFill="background1" w:themeFillShade="BF"/>
            <w:noWrap/>
            <w:vAlign w:val="bottom"/>
            <w:hideMark/>
          </w:tcPr>
          <w:p w:rsidR="00B12E6B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B12E6B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276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23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vMerge w:val="restart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 lámparas no funcionan</w:t>
            </w:r>
          </w:p>
        </w:tc>
      </w:tr>
      <w:tr w:rsidR="00FC52D2" w:rsidRPr="00FC52D2" w:rsidTr="00A1019E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M6</w:t>
            </w:r>
          </w:p>
        </w:tc>
        <w:tc>
          <w:tcPr>
            <w:tcW w:w="1923" w:type="dxa"/>
            <w:shd w:val="clear" w:color="auto" w:fill="BFBFBF" w:themeFill="background1" w:themeFillShade="BF"/>
            <w:noWrap/>
            <w:vAlign w:val="bottom"/>
            <w:hideMark/>
          </w:tcPr>
          <w:p w:rsidR="00B12E6B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B12E6B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233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26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vMerge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M7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345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164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vMerge/>
            <w:shd w:val="clear" w:color="auto" w:fill="auto"/>
            <w:noWrap/>
            <w:vAlign w:val="bottom"/>
            <w:hideMark/>
          </w:tcPr>
          <w:p w:rsidR="00B12E6B" w:rsidRPr="00FC52D2" w:rsidRDefault="00B12E6B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M8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518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97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M9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350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94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 lámpara no funciona</w:t>
            </w: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M10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352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 lámpara no funciona</w:t>
            </w: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M11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580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M12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620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124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A1019E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M13</w:t>
            </w:r>
          </w:p>
        </w:tc>
        <w:tc>
          <w:tcPr>
            <w:tcW w:w="1923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illón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287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124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43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 lámparas no funcionan</w:t>
            </w: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M14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403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147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M15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404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M16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304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85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A1019E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M17</w:t>
            </w:r>
          </w:p>
        </w:tc>
        <w:tc>
          <w:tcPr>
            <w:tcW w:w="1923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258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A1019E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M18</w:t>
            </w:r>
          </w:p>
        </w:tc>
        <w:tc>
          <w:tcPr>
            <w:tcW w:w="1923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opiadora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29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M19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400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M20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470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94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M21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327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55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M22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544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109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M23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263174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971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157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M24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116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C60512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M25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CE7826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ared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324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195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C60512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M26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CE7826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972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174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M27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CE7826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1027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173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M28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557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75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A1019E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M29</w:t>
            </w:r>
          </w:p>
        </w:tc>
        <w:tc>
          <w:tcPr>
            <w:tcW w:w="1923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CE7826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</w:t>
            </w:r>
            <w:r w:rsidR="003A2B09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ared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365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245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M30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 s/papel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585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126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FC52D2" w:rsidRPr="00FC52D2" w:rsidTr="00B12E6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M31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 c/papel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585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257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3A2B09" w:rsidRPr="00FC52D2" w:rsidRDefault="003A2B09" w:rsidP="003A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</w:tbl>
    <w:p w:rsidR="00927A42" w:rsidRPr="00FC52D2" w:rsidRDefault="00927A42" w:rsidP="00F842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br w:type="page"/>
      </w:r>
    </w:p>
    <w:p w:rsidR="00927A42" w:rsidRPr="00FC52D2" w:rsidRDefault="00927A42" w:rsidP="00927A42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lastRenderedPageBreak/>
        <w:t xml:space="preserve">Discusión </w:t>
      </w:r>
    </w:p>
    <w:p w:rsidR="00F842C4" w:rsidRPr="00FC52D2" w:rsidRDefault="00F842C4" w:rsidP="00927A42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160839" w:rsidRPr="00FC52D2" w:rsidRDefault="00C75B4E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Los resultados correspondientes a las lecturas tomadas en laboratorios</w:t>
      </w:r>
      <w:r w:rsidR="00CF47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son las que muestran un mayor nú</w:t>
      </w:r>
      <w:r w:rsidR="00D052BC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mero de puntos por debajo del mí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nimo recomendado</w:t>
      </w:r>
      <w:r w:rsidR="00D052BC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que son 500 lux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  <w:r w:rsidR="00160839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</w:p>
    <w:p w:rsidR="002B7416" w:rsidRPr="00FC52D2" w:rsidRDefault="002B7416" w:rsidP="008B6389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 xml:space="preserve">Tabla </w:t>
      </w:r>
      <w:r w:rsidR="00B925C6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1</w:t>
      </w:r>
      <w:r w:rsidR="00897607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3</w:t>
      </w:r>
      <w:r w:rsidR="00B925C6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.</w:t>
      </w:r>
      <w:r w:rsidR="00B925C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Comparativo de lecturas en los laboratorios de computación y ciencias.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7"/>
        <w:gridCol w:w="963"/>
        <w:gridCol w:w="1457"/>
        <w:gridCol w:w="1150"/>
        <w:gridCol w:w="992"/>
        <w:gridCol w:w="811"/>
      </w:tblGrid>
      <w:tr w:rsidR="00D052BC" w:rsidRPr="00FC52D2" w:rsidTr="00B925C6">
        <w:trPr>
          <w:jc w:val="center"/>
        </w:trPr>
        <w:tc>
          <w:tcPr>
            <w:tcW w:w="2237" w:type="dxa"/>
          </w:tcPr>
          <w:p w:rsidR="00E23C71" w:rsidRPr="00FC52D2" w:rsidRDefault="00E23C71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</w:p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Área</w:t>
            </w:r>
          </w:p>
        </w:tc>
        <w:tc>
          <w:tcPr>
            <w:tcW w:w="802" w:type="dxa"/>
          </w:tcPr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# total de  lecturas</w:t>
            </w:r>
          </w:p>
        </w:tc>
        <w:tc>
          <w:tcPr>
            <w:tcW w:w="1457" w:type="dxa"/>
          </w:tcPr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% no cumple</w:t>
            </w:r>
          </w:p>
        </w:tc>
        <w:tc>
          <w:tcPr>
            <w:tcW w:w="1150" w:type="dxa"/>
          </w:tcPr>
          <w:p w:rsidR="00E23C71" w:rsidRPr="00FC52D2" w:rsidRDefault="00E23C71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</w:p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Promedio</w:t>
            </w:r>
          </w:p>
        </w:tc>
        <w:tc>
          <w:tcPr>
            <w:tcW w:w="992" w:type="dxa"/>
          </w:tcPr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 xml:space="preserve">Valor </w:t>
            </w:r>
            <w:r w:rsidR="000B18D7"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máx.</w:t>
            </w:r>
          </w:p>
        </w:tc>
        <w:tc>
          <w:tcPr>
            <w:tcW w:w="811" w:type="dxa"/>
          </w:tcPr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Valor min</w:t>
            </w:r>
          </w:p>
        </w:tc>
      </w:tr>
      <w:tr w:rsidR="00D052BC" w:rsidRPr="00FC52D2" w:rsidTr="00B925C6">
        <w:trPr>
          <w:jc w:val="center"/>
        </w:trPr>
        <w:tc>
          <w:tcPr>
            <w:tcW w:w="2237" w:type="dxa"/>
          </w:tcPr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Laboratorio de idiomas</w:t>
            </w:r>
          </w:p>
        </w:tc>
        <w:tc>
          <w:tcPr>
            <w:tcW w:w="802" w:type="dxa"/>
          </w:tcPr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33</w:t>
            </w:r>
          </w:p>
        </w:tc>
        <w:tc>
          <w:tcPr>
            <w:tcW w:w="1457" w:type="dxa"/>
          </w:tcPr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60</w:t>
            </w:r>
          </w:p>
        </w:tc>
        <w:tc>
          <w:tcPr>
            <w:tcW w:w="1150" w:type="dxa"/>
          </w:tcPr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486</w:t>
            </w:r>
          </w:p>
        </w:tc>
        <w:tc>
          <w:tcPr>
            <w:tcW w:w="992" w:type="dxa"/>
          </w:tcPr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920</w:t>
            </w:r>
          </w:p>
        </w:tc>
        <w:tc>
          <w:tcPr>
            <w:tcW w:w="811" w:type="dxa"/>
          </w:tcPr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88</w:t>
            </w:r>
          </w:p>
        </w:tc>
      </w:tr>
      <w:tr w:rsidR="00D052BC" w:rsidRPr="00FC52D2" w:rsidTr="00B925C6">
        <w:trPr>
          <w:jc w:val="center"/>
        </w:trPr>
        <w:tc>
          <w:tcPr>
            <w:tcW w:w="2237" w:type="dxa"/>
          </w:tcPr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Laboratorio de informática</w:t>
            </w:r>
          </w:p>
        </w:tc>
        <w:tc>
          <w:tcPr>
            <w:tcW w:w="802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29</w:t>
            </w:r>
          </w:p>
        </w:tc>
        <w:tc>
          <w:tcPr>
            <w:tcW w:w="1457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72</w:t>
            </w:r>
          </w:p>
        </w:tc>
        <w:tc>
          <w:tcPr>
            <w:tcW w:w="1150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421</w:t>
            </w:r>
          </w:p>
        </w:tc>
        <w:tc>
          <w:tcPr>
            <w:tcW w:w="992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805</w:t>
            </w:r>
          </w:p>
        </w:tc>
        <w:tc>
          <w:tcPr>
            <w:tcW w:w="811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128</w:t>
            </w:r>
          </w:p>
        </w:tc>
      </w:tr>
      <w:tr w:rsidR="00D052BC" w:rsidRPr="00FC52D2" w:rsidTr="00B925C6">
        <w:trPr>
          <w:jc w:val="center"/>
        </w:trPr>
        <w:tc>
          <w:tcPr>
            <w:tcW w:w="2237" w:type="dxa"/>
          </w:tcPr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Laboratorio de tecnología del agua</w:t>
            </w:r>
          </w:p>
        </w:tc>
        <w:tc>
          <w:tcPr>
            <w:tcW w:w="802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15</w:t>
            </w:r>
          </w:p>
        </w:tc>
        <w:tc>
          <w:tcPr>
            <w:tcW w:w="1457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80</w:t>
            </w:r>
          </w:p>
        </w:tc>
        <w:tc>
          <w:tcPr>
            <w:tcW w:w="1150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381</w:t>
            </w:r>
          </w:p>
        </w:tc>
        <w:tc>
          <w:tcPr>
            <w:tcW w:w="992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660</w:t>
            </w:r>
          </w:p>
        </w:tc>
        <w:tc>
          <w:tcPr>
            <w:tcW w:w="811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153</w:t>
            </w:r>
          </w:p>
        </w:tc>
      </w:tr>
      <w:tr w:rsidR="00D052BC" w:rsidRPr="00FC52D2" w:rsidTr="00B925C6">
        <w:trPr>
          <w:jc w:val="center"/>
        </w:trPr>
        <w:tc>
          <w:tcPr>
            <w:tcW w:w="2237" w:type="dxa"/>
          </w:tcPr>
          <w:p w:rsidR="00D052BC" w:rsidRPr="00FC52D2" w:rsidRDefault="00D052BC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Laboratorio de química analítica</w:t>
            </w:r>
          </w:p>
        </w:tc>
        <w:tc>
          <w:tcPr>
            <w:tcW w:w="802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18</w:t>
            </w:r>
          </w:p>
        </w:tc>
        <w:tc>
          <w:tcPr>
            <w:tcW w:w="1457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89</w:t>
            </w:r>
          </w:p>
        </w:tc>
        <w:tc>
          <w:tcPr>
            <w:tcW w:w="1150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348</w:t>
            </w:r>
          </w:p>
        </w:tc>
        <w:tc>
          <w:tcPr>
            <w:tcW w:w="992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613</w:t>
            </w:r>
          </w:p>
        </w:tc>
        <w:tc>
          <w:tcPr>
            <w:tcW w:w="811" w:type="dxa"/>
          </w:tcPr>
          <w:p w:rsidR="00D052BC" w:rsidRPr="00FC52D2" w:rsidRDefault="0095135D" w:rsidP="00E23C7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</w:pPr>
            <w:r w:rsidRPr="00FC5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142</w:t>
            </w:r>
          </w:p>
        </w:tc>
      </w:tr>
    </w:tbl>
    <w:p w:rsidR="00D052BC" w:rsidRPr="00FC52D2" w:rsidRDefault="00D052BC" w:rsidP="00F842C4">
      <w:pPr>
        <w:pStyle w:val="Prrafodelista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B925C6" w:rsidRPr="00FC52D2" w:rsidRDefault="00B925C6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Para los espacios </w:t>
      </w:r>
      <w:r w:rsidR="00C669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laboratorios </w:t>
      </w:r>
      <w:r w:rsidR="00C669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 </w:t>
      </w:r>
      <w:r w:rsidR="00AC406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ciencias,</w:t>
      </w:r>
      <w:r w:rsidR="00C669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el estándar </w:t>
      </w:r>
      <w:r w:rsidR="00AC406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</w:t>
      </w:r>
      <w:r w:rsidR="00C669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mericano </w:t>
      </w:r>
      <w:r w:rsidR="00AC406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ANSI/IES RP-3-13</w:t>
      </w:r>
      <w:r w:rsidR="00C669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recomienda “c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olocar la iluminación fluorescente continuamente a lo largo de los bancos o mesas justo por encima de la altura de la cabeza” </w:t>
      </w:r>
      <w:r w:rsidR="00AC406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.Las condiciones actuales de los laboratorios de química y aguas contrastan notablemente con lo anterior, al ubicarse las luminarias con lámparas de 28W a un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altura de 2.35</w:t>
      </w:r>
      <w:r w:rsidR="00AC406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m. Los laboratorio</w:t>
      </w:r>
      <w:r w:rsidR="00FC558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</w:t>
      </w:r>
      <w:r w:rsidR="00AC406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de cómputo cuentan con lámparas de 32w a una distancia menor con respecto al plano de trabajo, sin embargo, presentan mediciones mayores al 50% por debajo de los 500 lux necesarios, por lo que se requiere, además de cambiar las lámparas descompuestas, realizar los ajustes para mejorar las condiciones.</w:t>
      </w:r>
    </w:p>
    <w:p w:rsidR="00B925C6" w:rsidRPr="00FC52D2" w:rsidRDefault="00B925C6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86317" w:rsidRPr="00FC52D2" w:rsidRDefault="0095135D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En el caso de oficinas </w:t>
      </w:r>
      <w:r w:rsidR="00B920D9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se detectaron puestos específicos de trabajo que requieren ajustes para lograr el cumplimiento.</w:t>
      </w:r>
      <w:r w:rsidR="00B12E6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26317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 sala de maestros, l</w:t>
      </w:r>
      <w:r w:rsidR="00B12E6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os puntos M5,</w:t>
      </w:r>
      <w:r w:rsidR="00FC558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B12E6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M6 Y M13 están contiguos a luminarias que tienen solo 1 de sus 3 lámparas funcionando; el puesto de </w:t>
      </w:r>
      <w:r w:rsidR="00B12E6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lastRenderedPageBreak/>
        <w:t xml:space="preserve">trabajo ubicado en los puntos M17 Y M18, se encuentra alejado de luminarias y separado por mamparas. </w:t>
      </w:r>
      <w:r w:rsidR="00C6051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El </w:t>
      </w:r>
      <w:r w:rsidR="00CE782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punto M29</w:t>
      </w:r>
      <w:r w:rsidR="00C6051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corresponde a </w:t>
      </w:r>
      <w:r w:rsidR="00CE782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la</w:t>
      </w:r>
      <w:r w:rsidR="00C6051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pared </w:t>
      </w:r>
      <w:r w:rsidR="00CE782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 sala de juntas donde se proyectan presentaciones</w:t>
      </w:r>
      <w:r w:rsidR="00C60512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, </w:t>
      </w:r>
      <w:r w:rsidR="00FC558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aunque bajo la norma está por encima del 50% en su factor de reflexión, está dentro del 70% considerado para pizarrones en el estándar americano</w:t>
      </w:r>
      <w:r w:rsidR="0086131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 xml:space="preserve"> </w:t>
      </w:r>
      <w:r w:rsidR="0086131A" w:rsidRPr="0086131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(ANSI, 2013)</w:t>
      </w:r>
      <w:r w:rsidR="00FC558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  <w:r w:rsidR="00263174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</w:p>
    <w:p w:rsidR="00D86317" w:rsidRPr="00FC52D2" w:rsidRDefault="00D86317" w:rsidP="00CE782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C5580" w:rsidRPr="00FC52D2" w:rsidRDefault="00263174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 las oficinas de PTC’s el punto PT10 se encuentra por debajo de los 300 lux, la luminaria más cercana a este punto requiere limpieza.</w:t>
      </w:r>
      <w:r w:rsidR="00D86317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El </w:t>
      </w:r>
      <w:r w:rsidR="00F07143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incumpliendo</w:t>
      </w:r>
      <w:r w:rsidR="00D86317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en el factor de reflexión del punto PT9, corresponde a un monitor, una medida a considerar puede ser reubicar la orientación del mismo.</w:t>
      </w:r>
    </w:p>
    <w:p w:rsidR="00891663" w:rsidRPr="00FC52D2" w:rsidRDefault="00891663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263174" w:rsidRPr="00FC52D2" w:rsidRDefault="00F07143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 el área de dirección solo hay incumplimiento en el factor de reflexión del monitor del punto D4. Se observó que el puesto de trabajo se ubica frente a ventana. El área ya cuenta con persiana. Se puede considerar reubicar la ubicación del equipo de cómputo.</w:t>
      </w:r>
    </w:p>
    <w:p w:rsidR="00B22629" w:rsidRPr="00FC52D2" w:rsidRDefault="000B18D7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 el puesto de trabajo marcado por los puntos T6 y T7, requiere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una adecuación para que obteng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un mayor grado de iluminación.</w:t>
      </w:r>
    </w:p>
    <w:p w:rsidR="00891663" w:rsidRPr="00FC52D2" w:rsidRDefault="00891663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C5580" w:rsidRPr="00FC52D2" w:rsidRDefault="00FC5580" w:rsidP="008B6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 el caso d</w:t>
      </w:r>
      <w:r w:rsidR="00192BF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el aula </w:t>
      </w:r>
      <w:r w:rsidR="00196B4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 Tecnología Ambiental (TA),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el punto que no cumple es el del pizarrón (lo mismo en los pizarrones de los </w:t>
      </w:r>
      <w:r w:rsidR="00192BF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laboratorios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 cómputo) </w:t>
      </w:r>
      <w:r w:rsidR="00192BF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 el factor de reflexión.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0B18D7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El </w:t>
      </w:r>
      <w:r w:rsidR="000B18D7"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problema con los pizarrones blancos tiene que ver más con su acabado brillante, que con su alto factor de reflexión (70%) </w:t>
      </w:r>
      <w:r w:rsidR="00196B42" w:rsidRPr="000B18D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(ANSI, 2013)</w:t>
      </w:r>
      <w:r w:rsidR="000B18D7"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  las mediciones obtenidas en tres pizarrones van desde 58 a 78% en su factor de reflexión, p</w:t>
      </w:r>
      <w:r w:rsidR="000B18D7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or lo cual se deberán buscar soluciones, que pueden incluir el reemplazo por pizarrones anti brillos o antirreflejo o la adaptación de las </w:t>
      </w:r>
      <w:r w:rsidR="004D2B19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luminarias,</w:t>
      </w:r>
      <w:r w:rsidR="000B18D7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ya que el uso de la mayor parte de las clases es con manejo de proyector. </w:t>
      </w:r>
    </w:p>
    <w:p w:rsidR="00FC5580" w:rsidRPr="00FC52D2" w:rsidRDefault="00FC5580" w:rsidP="00CE782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160839" w:rsidRPr="00FC52D2" w:rsidRDefault="00192BF1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Los sanitarios requieren </w:t>
      </w:r>
      <w:r w:rsidR="00196B4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la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196B4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instalación de</w:t>
      </w:r>
      <w:r w:rsidR="00F1310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lámparas en el punto de trabajo donde, en el caso de las damas, se guardan los materiales de limpieza, y en el caso del sanitario de hombres, se tiene acceso a una escalera para subir al techo</w:t>
      </w:r>
      <w:r w:rsidR="0072791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p w:rsidR="00F1310B" w:rsidRPr="00D93108" w:rsidRDefault="00F1310B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192BF1" w:rsidRPr="00FC52D2" w:rsidRDefault="005924EF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 el</w:t>
      </w:r>
      <w:r w:rsidR="00192BF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pasillo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se </w:t>
      </w:r>
      <w:r w:rsidR="00A5733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detectó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el punto P5, ubicado entre dos l</w:t>
      </w:r>
      <w:r w:rsidR="00A5733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uminarias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contiguas</w:t>
      </w:r>
      <w:r w:rsidR="00A5733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 en éstas, ninguna de las lámparas funcionaba.</w:t>
      </w:r>
      <w:r w:rsidR="00192BF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Es interesante que los niveles de iluminación del </w:t>
      </w:r>
      <w:r w:rsidR="00A5733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lastRenderedPageBreak/>
        <w:t>pasillo</w:t>
      </w:r>
      <w:r w:rsidR="00192BF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estén </w:t>
      </w:r>
      <w:r w:rsidR="00A5733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muy </w:t>
      </w:r>
      <w:r w:rsidR="00192BF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por encima de los 100 lux que marca la norma</w:t>
      </w:r>
      <w:r w:rsidR="00196B4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="00A5733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con una lectura promedio de 439 lux. Es por lo anterior</w:t>
      </w:r>
      <w:r w:rsidR="00192BF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, </w:t>
      </w:r>
      <w:r w:rsidR="00A5733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que </w:t>
      </w:r>
      <w:r w:rsidR="00192BF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se hizo una medición </w:t>
      </w:r>
      <w:r w:rsidR="00A5733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aprovechando la configuración de los dos apagadores, que controlan cada uno la mitad de las luminarias, </w:t>
      </w:r>
      <w:r w:rsidR="00192BF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con solo la mitad </w:t>
      </w:r>
      <w:r w:rsidR="00A5733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de las luminarias encendidas obteniendo</w:t>
      </w:r>
      <w:r w:rsidR="00192BF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:</w:t>
      </w:r>
    </w:p>
    <w:p w:rsidR="00B22629" w:rsidRPr="00FC52D2" w:rsidRDefault="00B22629" w:rsidP="004D2B19">
      <w:pPr>
        <w:pStyle w:val="Prrafodelista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192BF1" w:rsidRPr="00FC52D2" w:rsidRDefault="00263174" w:rsidP="004D2B19">
      <w:pPr>
        <w:pStyle w:val="Prrafodelista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Tabla 1</w:t>
      </w:r>
      <w:r w:rsidR="00897607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4</w:t>
      </w: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.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Pasillo planta alta con un apagador funcionando.</w:t>
      </w:r>
      <w:r w:rsidRPr="00D93108">
        <w:rPr>
          <w:color w:val="000000" w:themeColor="text1"/>
          <w:lang w:val="es-MX"/>
        </w:rPr>
        <w:t xml:space="preserve">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Tarea visual: Pasillo- en interiores-áreas de circulación. Mínimo 100 lux.</w:t>
      </w:r>
    </w:p>
    <w:tbl>
      <w:tblPr>
        <w:tblW w:w="914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991"/>
        <w:gridCol w:w="791"/>
        <w:gridCol w:w="535"/>
        <w:gridCol w:w="535"/>
        <w:gridCol w:w="380"/>
        <w:gridCol w:w="900"/>
        <w:gridCol w:w="900"/>
        <w:gridCol w:w="3715"/>
      </w:tblGrid>
      <w:tr w:rsidR="00192BF1" w:rsidRPr="00BB065E" w:rsidTr="00E23C71">
        <w:trPr>
          <w:trHeight w:val="315"/>
          <w:jc w:val="center"/>
        </w:trPr>
        <w:tc>
          <w:tcPr>
            <w:tcW w:w="5426" w:type="dxa"/>
            <w:gridSpan w:val="8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Día 1. Hora inicio:  17:40.  Hora fin: 17:50</w:t>
            </w:r>
          </w:p>
        </w:tc>
        <w:tc>
          <w:tcPr>
            <w:tcW w:w="371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MX" w:eastAsia="es-MX"/>
              </w:rPr>
            </w:pPr>
          </w:p>
        </w:tc>
      </w:tr>
      <w:tr w:rsidR="00E23C71" w:rsidRPr="00FC52D2" w:rsidTr="00E23C71">
        <w:trPr>
          <w:trHeight w:val="690"/>
          <w:jc w:val="center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#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Detalle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Plano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371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Observaciones</w:t>
            </w:r>
          </w:p>
        </w:tc>
      </w:tr>
      <w:tr w:rsidR="00E23C71" w:rsidRPr="00FC52D2" w:rsidTr="00E23C71">
        <w:trPr>
          <w:trHeight w:val="315"/>
          <w:jc w:val="center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192BF1" w:rsidRPr="00FC52D2" w:rsidRDefault="00CD619F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525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113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371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 lámparas encendidas</w:t>
            </w:r>
          </w:p>
        </w:tc>
      </w:tr>
      <w:tr w:rsidR="00E23C71" w:rsidRPr="00FC52D2" w:rsidTr="00E23C71">
        <w:trPr>
          <w:trHeight w:val="315"/>
          <w:jc w:val="center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192BF1" w:rsidRPr="00FC52D2" w:rsidRDefault="00CD619F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915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178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371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 lámparas encendidas</w:t>
            </w:r>
          </w:p>
        </w:tc>
      </w:tr>
      <w:tr w:rsidR="00F07AE0" w:rsidRPr="00FC52D2" w:rsidTr="00F07AE0">
        <w:trPr>
          <w:trHeight w:val="315"/>
          <w:jc w:val="center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192BF1" w:rsidRPr="00FC52D2" w:rsidRDefault="00CD619F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74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371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 lámparas no funcionan</w:t>
            </w:r>
          </w:p>
        </w:tc>
      </w:tr>
      <w:tr w:rsidR="00E23C71" w:rsidRPr="00FC52D2" w:rsidTr="00E23C71">
        <w:trPr>
          <w:trHeight w:val="315"/>
          <w:jc w:val="center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192BF1" w:rsidRPr="00FC52D2" w:rsidRDefault="00FC5580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242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371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 lámparas no funcionan, 2 encendidas</w:t>
            </w:r>
          </w:p>
        </w:tc>
      </w:tr>
      <w:tr w:rsidR="00F07AE0" w:rsidRPr="00FC52D2" w:rsidTr="00F07AE0">
        <w:trPr>
          <w:trHeight w:val="315"/>
          <w:jc w:val="center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192BF1" w:rsidRPr="00FC52D2" w:rsidRDefault="00FC5580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34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62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371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 lámparas no funcionan</w:t>
            </w:r>
          </w:p>
        </w:tc>
      </w:tr>
      <w:tr w:rsidR="00F07AE0" w:rsidRPr="00BB065E" w:rsidTr="00F07AE0">
        <w:trPr>
          <w:trHeight w:val="315"/>
          <w:jc w:val="center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192BF1" w:rsidRPr="00FC52D2" w:rsidRDefault="00FC5580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56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39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70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371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 lámparas no funcionan, ninguna encendida</w:t>
            </w:r>
          </w:p>
        </w:tc>
      </w:tr>
      <w:tr w:rsidR="00E23C71" w:rsidRPr="00FC52D2" w:rsidTr="00E23C71">
        <w:trPr>
          <w:trHeight w:val="315"/>
          <w:jc w:val="center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192BF1" w:rsidRPr="00FC52D2" w:rsidRDefault="00FC5580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252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371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 lámparas encendidas</w:t>
            </w:r>
          </w:p>
        </w:tc>
      </w:tr>
      <w:tr w:rsidR="00E23C71" w:rsidRPr="00BB065E" w:rsidTr="00E23C71">
        <w:trPr>
          <w:trHeight w:val="315"/>
          <w:jc w:val="center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P8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192BF1" w:rsidRPr="00FC52D2" w:rsidRDefault="00FC5580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166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43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371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 lámparas no funciona, 1 lámpara encendida</w:t>
            </w:r>
          </w:p>
        </w:tc>
      </w:tr>
      <w:tr w:rsidR="00F07AE0" w:rsidRPr="00BB065E" w:rsidTr="00F07AE0">
        <w:trPr>
          <w:trHeight w:val="315"/>
          <w:jc w:val="center"/>
        </w:trPr>
        <w:tc>
          <w:tcPr>
            <w:tcW w:w="394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 pie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192BF1" w:rsidRPr="00FC52D2" w:rsidRDefault="00FC5580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57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57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3715" w:type="dxa"/>
            <w:shd w:val="clear" w:color="auto" w:fill="auto"/>
            <w:noWrap/>
            <w:vAlign w:val="bottom"/>
            <w:hideMark/>
          </w:tcPr>
          <w:p w:rsidR="00192BF1" w:rsidRPr="00FC52D2" w:rsidRDefault="00192BF1" w:rsidP="0019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 lámparas no funcionan, ninguna encendida</w:t>
            </w:r>
          </w:p>
        </w:tc>
      </w:tr>
    </w:tbl>
    <w:p w:rsidR="00192BF1" w:rsidRPr="00FC52D2" w:rsidRDefault="00192BF1" w:rsidP="00B920D9">
      <w:pPr>
        <w:pStyle w:val="Prrafodelista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192BF1" w:rsidRPr="00FC52D2" w:rsidRDefault="00263174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Al comparar los resultados </w:t>
      </w:r>
      <w:r w:rsidR="00192BF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se puede con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c</w:t>
      </w:r>
      <w:r w:rsidR="00192BF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luir que una medida de ahorro sería utilizar solo la mitad de las lámparas, al menos en turno con incidencia de luz solar, siempre y cuando sean reemplazadas las lámparas descompuestas, para poder estar en cumplimiento.</w:t>
      </w:r>
    </w:p>
    <w:p w:rsidR="00E23C71" w:rsidRPr="00FC52D2" w:rsidRDefault="00E23C71" w:rsidP="004D2B19">
      <w:pPr>
        <w:pStyle w:val="Prrafodelista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93865" w:rsidRPr="00FC52D2" w:rsidRDefault="00E23C71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Se realizó una prueba </w:t>
      </w:r>
      <w:r w:rsidR="002C34D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en sala de maestros,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en puesto de trabajo </w:t>
      </w:r>
      <w:r w:rsidR="002C34D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marcado con los puntos M1 al M4, M30 y 31, y M29. Se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utiliza</w:t>
      </w:r>
      <w:r w:rsidR="002C34D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ron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2C34D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3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lámparas LED de la marca Philips modelo instantfit 14.5t8-434605, equivalentes a las de 32w</w:t>
      </w:r>
      <w:r w:rsidR="002C34D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. </w:t>
      </w:r>
      <w:r w:rsidR="00F9386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Dentro de las características del fabricante se asegura que el modelo utilizado provee el equivalente en iluminancia a lo que una </w:t>
      </w:r>
      <w:r w:rsidR="000B18D7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lámpara</w:t>
      </w:r>
      <w:r w:rsidR="00F9386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fluorescente T8 de 32W, 2800 </w:t>
      </w:r>
      <w:r w:rsidR="000B18D7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lúmenes</w:t>
      </w:r>
      <w:r w:rsidR="00F9386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 4000 K; con un ahorro de hasta el 55% en costos de energía.</w:t>
      </w:r>
    </w:p>
    <w:p w:rsidR="00C75B4E" w:rsidRPr="00FC52D2" w:rsidRDefault="00C75B4E" w:rsidP="00B925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CF47D2" w:rsidRDefault="00CF47D2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BA77F1" w:rsidRDefault="00BA77F1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Tabla</w:t>
      </w:r>
      <w:r w:rsidR="002C34D5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 xml:space="preserve"> 1</w:t>
      </w:r>
      <w:r w:rsidR="00897607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5</w:t>
      </w: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.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Comparación de lecturas </w:t>
      </w:r>
      <w:r w:rsidR="002C34D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LED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y fluorescente, en un puesto de trabajo en el área de sala de maestros. Mínimo 300 lux</w:t>
      </w:r>
      <w:r w:rsidR="000341E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p w:rsidR="00CF47D2" w:rsidRPr="00FC52D2" w:rsidRDefault="00CF47D2" w:rsidP="00BA77F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tbl>
      <w:tblPr>
        <w:tblW w:w="958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918"/>
        <w:gridCol w:w="687"/>
        <w:gridCol w:w="500"/>
        <w:gridCol w:w="500"/>
        <w:gridCol w:w="380"/>
        <w:gridCol w:w="914"/>
        <w:gridCol w:w="902"/>
        <w:gridCol w:w="660"/>
        <w:gridCol w:w="560"/>
        <w:gridCol w:w="560"/>
        <w:gridCol w:w="900"/>
        <w:gridCol w:w="900"/>
      </w:tblGrid>
      <w:tr w:rsidR="00E23C71" w:rsidRPr="00BB065E" w:rsidTr="00E23C71">
        <w:trPr>
          <w:trHeight w:val="315"/>
          <w:jc w:val="center"/>
        </w:trPr>
        <w:tc>
          <w:tcPr>
            <w:tcW w:w="6160" w:type="dxa"/>
            <w:gridSpan w:val="8"/>
            <w:shd w:val="clear" w:color="auto" w:fill="auto"/>
            <w:noWrap/>
            <w:vAlign w:val="bottom"/>
            <w:hideMark/>
          </w:tcPr>
          <w:p w:rsidR="00D9610E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Día 5.    Hora inicio LED:  10:06.   Hora fin: </w:t>
            </w:r>
            <w:r w:rsidR="00D9610E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10:12.     </w:t>
            </w:r>
            <w:r w:rsidR="00D9610E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                   </w:t>
            </w:r>
          </w:p>
          <w:p w:rsidR="00E23C71" w:rsidRPr="00FC52D2" w:rsidRDefault="00D9610E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       </w:t>
            </w:r>
            <w:r w:rsidR="00E23C71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Hora inicio fl: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     </w:t>
            </w:r>
            <w:r w:rsidR="00E23C71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 10:50.   Hora fin fl :11:00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E23C71" w:rsidRPr="00FC52D2" w:rsidTr="00E23C71">
        <w:trPr>
          <w:trHeight w:val="315"/>
          <w:jc w:val="center"/>
        </w:trPr>
        <w:tc>
          <w:tcPr>
            <w:tcW w:w="579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3008" w:type="dxa"/>
            <w:gridSpan w:val="5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LED</w:t>
            </w:r>
          </w:p>
        </w:tc>
        <w:tc>
          <w:tcPr>
            <w:tcW w:w="3420" w:type="dxa"/>
            <w:gridSpan w:val="5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FLUORESCENTE</w:t>
            </w:r>
          </w:p>
        </w:tc>
      </w:tr>
      <w:tr w:rsidR="00E23C71" w:rsidRPr="00FC52D2" w:rsidTr="00E23C71">
        <w:trPr>
          <w:trHeight w:val="705"/>
          <w:jc w:val="center"/>
        </w:trPr>
        <w:tc>
          <w:tcPr>
            <w:tcW w:w="579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#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Detalle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Plano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1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914" w:type="dxa"/>
            <w:shd w:val="clear" w:color="auto" w:fill="auto"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  <w:tc>
          <w:tcPr>
            <w:tcW w:w="820" w:type="dxa"/>
            <w:shd w:val="clear" w:color="auto" w:fill="auto"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E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2</w:t>
            </w:r>
          </w:p>
        </w:tc>
        <w:tc>
          <w:tcPr>
            <w:tcW w:w="820" w:type="dxa"/>
            <w:shd w:val="clear" w:color="auto" w:fill="auto"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Cumple K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s-MX" w:eastAsia="es-MX"/>
              </w:rPr>
              <w:t>F</w:t>
            </w:r>
          </w:p>
        </w:tc>
      </w:tr>
      <w:tr w:rsidR="00E23C71" w:rsidRPr="00FC52D2" w:rsidTr="00E23C71">
        <w:trPr>
          <w:trHeight w:val="315"/>
          <w:jc w:val="center"/>
        </w:trPr>
        <w:tc>
          <w:tcPr>
            <w:tcW w:w="579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 s/papel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744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185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770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E23C71" w:rsidRPr="00FC52D2" w:rsidTr="00E23C71">
        <w:trPr>
          <w:trHeight w:val="315"/>
          <w:jc w:val="center"/>
        </w:trPr>
        <w:tc>
          <w:tcPr>
            <w:tcW w:w="579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M31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 c/papel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744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370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770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E23C71" w:rsidRPr="00FC52D2" w:rsidTr="00E23C71">
        <w:trPr>
          <w:trHeight w:val="315"/>
          <w:jc w:val="center"/>
        </w:trPr>
        <w:tc>
          <w:tcPr>
            <w:tcW w:w="579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23C71" w:rsidRPr="00FC52D2" w:rsidRDefault="00B925C6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</w:t>
            </w:r>
            <w:r w:rsidR="00E23C71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eclado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570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30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586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E23C71" w:rsidRPr="00FC52D2" w:rsidTr="00E23C71">
        <w:trPr>
          <w:trHeight w:val="315"/>
          <w:jc w:val="center"/>
        </w:trPr>
        <w:tc>
          <w:tcPr>
            <w:tcW w:w="579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23C71" w:rsidRPr="00FC52D2" w:rsidRDefault="00FC5580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</w:t>
            </w:r>
            <w:r w:rsidR="00E23C71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onitor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460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90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90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F07AE0" w:rsidRPr="00FC52D2" w:rsidTr="00F07AE0">
        <w:trPr>
          <w:trHeight w:val="315"/>
          <w:jc w:val="center"/>
        </w:trPr>
        <w:tc>
          <w:tcPr>
            <w:tcW w:w="579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M28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23C71" w:rsidRPr="00FC52D2" w:rsidRDefault="00B925C6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</w:t>
            </w:r>
            <w:r w:rsidR="00E23C71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ared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v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380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258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2" w:type="dxa"/>
            <w:shd w:val="clear" w:color="auto" w:fill="BFBFBF" w:themeFill="background1" w:themeFillShade="BF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254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75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820" w:type="dxa"/>
            <w:shd w:val="clear" w:color="auto" w:fill="BFBFBF" w:themeFill="background1" w:themeFillShade="BF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NO</w:t>
            </w:r>
          </w:p>
        </w:tc>
      </w:tr>
      <w:tr w:rsidR="00E23C71" w:rsidRPr="00FC52D2" w:rsidTr="00E23C71">
        <w:trPr>
          <w:trHeight w:val="315"/>
          <w:jc w:val="center"/>
        </w:trPr>
        <w:tc>
          <w:tcPr>
            <w:tcW w:w="579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 s/papel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556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115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  <w:tr w:rsidR="00E23C71" w:rsidRPr="00FC52D2" w:rsidTr="00E23C71">
        <w:trPr>
          <w:trHeight w:val="315"/>
          <w:jc w:val="center"/>
        </w:trPr>
        <w:tc>
          <w:tcPr>
            <w:tcW w:w="579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ME2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escritorio c/papel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h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556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230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E2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SI</w:t>
            </w:r>
          </w:p>
        </w:tc>
      </w:tr>
    </w:tbl>
    <w:p w:rsidR="00E23C71" w:rsidRPr="00FC52D2" w:rsidRDefault="00E23C71" w:rsidP="00F842C4">
      <w:pPr>
        <w:pStyle w:val="Prrafodelista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CF47D2" w:rsidRDefault="00CF47D2" w:rsidP="002C34D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E23C71" w:rsidRPr="00FC52D2" w:rsidRDefault="00E23C71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Como se muestra en la tabla</w:t>
      </w:r>
      <w:r w:rsidR="00F9386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los valores de mediciones entre un tipo y otro fueron muy cercanos. </w:t>
      </w:r>
      <w:r w:rsidR="00F9386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No se presentó problema alguno para su instalación y funcionamiento</w:t>
      </w:r>
      <w:r w:rsidR="00D9610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; e</w:t>
      </w:r>
      <w:r w:rsidR="002C34D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sto hace posible reemplazar solamente las lámparas y no la luminaria completa para beneficiarse de </w:t>
      </w:r>
      <w:r w:rsidR="00F9386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la</w:t>
      </w:r>
      <w:r w:rsidR="002C34D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tecnología </w:t>
      </w:r>
      <w:r w:rsidR="00F9386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LED </w:t>
      </w:r>
      <w:r w:rsidR="002C34D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que</w:t>
      </w:r>
      <w:r w:rsidR="00F9386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 a diferencia de las lámparas fluorescentes, no contienen mercurio, no emiten ondas nocivas a la salud a corta distancia y pueden ser recicladas (Anónimo, 2017).</w:t>
      </w:r>
      <w:r w:rsidR="002C34D5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</w:p>
    <w:p w:rsidR="00F93865" w:rsidRPr="00FC52D2" w:rsidRDefault="00F93865" w:rsidP="004D2B19">
      <w:pPr>
        <w:pStyle w:val="Prrafodelista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E23C71" w:rsidRPr="00FC52D2" w:rsidRDefault="00D9610E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A continuación se ofrece un cuadro comparativo con las características de las lámparas </w:t>
      </w:r>
      <w:r w:rsidR="00E23C7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aludidas en este estudio:</w:t>
      </w:r>
    </w:p>
    <w:p w:rsidR="00D9610E" w:rsidRPr="00FC52D2" w:rsidRDefault="00D9610E" w:rsidP="00E23C7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9610E" w:rsidRPr="00FC52D2" w:rsidRDefault="00D9610E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9610E" w:rsidRPr="00FC52D2" w:rsidRDefault="00D9610E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9610E" w:rsidRPr="00FC52D2" w:rsidRDefault="00D9610E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9610E" w:rsidRPr="00FC52D2" w:rsidRDefault="00D9610E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9610E" w:rsidRPr="00FC52D2" w:rsidRDefault="00D9610E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9610E" w:rsidRPr="00FC52D2" w:rsidRDefault="00D9610E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E23C71" w:rsidRPr="00FC52D2" w:rsidRDefault="00897607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lastRenderedPageBreak/>
        <w:t>Tabla 16</w:t>
      </w:r>
      <w:r w:rsidR="00E23C71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.</w:t>
      </w:r>
      <w:r w:rsidR="00E23C7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Cuadro comparativo de las características y cantidad de las lámparas presentes en las áreas evaluadas.</w:t>
      </w:r>
    </w:p>
    <w:p w:rsidR="00E23C71" w:rsidRPr="00FC52D2" w:rsidRDefault="00E23C71" w:rsidP="00F842C4">
      <w:pPr>
        <w:pStyle w:val="Prrafodelista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tbl>
      <w:tblPr>
        <w:tblW w:w="10029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2160"/>
        <w:gridCol w:w="2207"/>
        <w:gridCol w:w="2380"/>
        <w:gridCol w:w="1916"/>
      </w:tblGrid>
      <w:tr w:rsidR="00E23C71" w:rsidRPr="00FC52D2" w:rsidTr="004C7682">
        <w:trPr>
          <w:trHeight w:val="315"/>
          <w:jc w:val="center"/>
        </w:trPr>
        <w:tc>
          <w:tcPr>
            <w:tcW w:w="1366" w:type="dxa"/>
            <w:vMerge w:val="restart"/>
            <w:shd w:val="clear" w:color="auto" w:fill="auto"/>
            <w:noWrap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Modelo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MX" w:eastAsia="es-MX"/>
              </w:rPr>
            </w:pPr>
            <w:r w:rsidRPr="00FC52D2">
              <w:rPr>
                <w:rFonts w:ascii="Calibri" w:eastAsia="Times New Roman" w:hAnsi="Calibri" w:cs="Calibri"/>
                <w:noProof/>
                <w:color w:val="000000" w:themeColor="text1"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2578749A" wp14:editId="191E0353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180975</wp:posOffset>
                  </wp:positionV>
                  <wp:extent cx="1285875" cy="723900"/>
                  <wp:effectExtent l="0" t="0" r="0" b="0"/>
                  <wp:wrapNone/>
                  <wp:docPr id="33" name="Imagen 33" descr="U-Bent Rapid Start T8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1FA2F747-2266-4948-9883-D364030760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2" descr="U-Bent Rapid Start T8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1FA2F747-2266-4948-9883-D364030760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170"/>
                          <a:stretch/>
                        </pic:blipFill>
                        <pic:spPr bwMode="auto">
                          <a:xfrm>
                            <a:off x="0" y="0"/>
                            <a:ext cx="1284412" cy="7259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52D2">
              <w:rPr>
                <w:rFonts w:ascii="Calibri" w:eastAsia="Times New Roman" w:hAnsi="Calibri" w:cs="Calibri"/>
                <w:noProof/>
                <w:color w:val="000000" w:themeColor="text1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 wp14:anchorId="2F7256A7" wp14:editId="507313CB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28575</wp:posOffset>
                  </wp:positionV>
                  <wp:extent cx="1009650" cy="885825"/>
                  <wp:effectExtent l="0" t="0" r="0" b="0"/>
                  <wp:wrapNone/>
                  <wp:docPr id="32" name="Imagen 32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A20DAF18-C612-42AA-8FC9-A787C6B6FF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A20DAF18-C612-42AA-8FC9-A787C6B6FF5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09650" cy="889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FC52D2" w:rsidRPr="00FC52D2" w:rsidTr="004C7682">
              <w:trPr>
                <w:trHeight w:val="315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3C71" w:rsidRPr="00FC52D2" w:rsidRDefault="00E23C71" w:rsidP="004C7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s-MX" w:eastAsia="es-MX"/>
                    </w:rPr>
                  </w:pPr>
                </w:p>
              </w:tc>
            </w:tr>
          </w:tbl>
          <w:p w:rsidR="00E23C71" w:rsidRPr="00FC52D2" w:rsidRDefault="00E23C71" w:rsidP="004C76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MX" w:eastAsia="es-MX"/>
              </w:rPr>
            </w:pPr>
          </w:p>
        </w:tc>
        <w:tc>
          <w:tcPr>
            <w:tcW w:w="2207" w:type="dxa"/>
            <w:vMerge w:val="restart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MX" w:eastAsia="es-MX"/>
              </w:rPr>
            </w:pPr>
            <w:r w:rsidRPr="00FC52D2">
              <w:rPr>
                <w:rFonts w:ascii="Calibri" w:eastAsia="Times New Roman" w:hAnsi="Calibri" w:cs="Calibri"/>
                <w:noProof/>
                <w:color w:val="000000" w:themeColor="text1"/>
                <w:lang w:val="es-MX" w:eastAsia="es-MX"/>
              </w:rPr>
              <w:drawing>
                <wp:anchor distT="0" distB="0" distL="114300" distR="114300" simplePos="0" relativeHeight="251662336" behindDoc="0" locked="0" layoutInCell="1" allowOverlap="1" wp14:anchorId="69CB2564" wp14:editId="3166549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57150</wp:posOffset>
                  </wp:positionV>
                  <wp:extent cx="1314450" cy="762000"/>
                  <wp:effectExtent l="0" t="0" r="0" b="0"/>
                  <wp:wrapNone/>
                  <wp:docPr id="31" name="Imagen 31" descr="Imagen relacionada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1390A1A7-6038-4673-BB0A-BD9F90A288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4" descr="Imagen relacionada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1390A1A7-6038-4673-BB0A-BD9F90A288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40" b="28245"/>
                          <a:stretch/>
                        </pic:blipFill>
                        <pic:spPr bwMode="auto">
                          <a:xfrm>
                            <a:off x="0" y="0"/>
                            <a:ext cx="1313447" cy="762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52D2">
              <w:rPr>
                <w:rFonts w:ascii="Calibri" w:eastAsia="Times New Roman" w:hAnsi="Calibri" w:cs="Calibri"/>
                <w:noProof/>
                <w:color w:val="000000" w:themeColor="text1"/>
                <w:lang w:val="es-MX" w:eastAsia="es-MX"/>
              </w:rPr>
              <w:drawing>
                <wp:anchor distT="0" distB="0" distL="114300" distR="114300" simplePos="0" relativeHeight="251661312" behindDoc="0" locked="0" layoutInCell="1" allowOverlap="1" wp14:anchorId="3DC79725" wp14:editId="2CFE3711">
                  <wp:simplePos x="0" y="0"/>
                  <wp:positionH relativeFrom="column">
                    <wp:posOffset>1485900</wp:posOffset>
                  </wp:positionH>
                  <wp:positionV relativeFrom="paragraph">
                    <wp:posOffset>66675</wp:posOffset>
                  </wp:positionV>
                  <wp:extent cx="1095375" cy="809625"/>
                  <wp:effectExtent l="0" t="0" r="0" b="9525"/>
                  <wp:wrapNone/>
                  <wp:docPr id="30" name="Imagen 30" descr="http://www.canadalite.com/image/cache/data/Fluorescents/T5BL-500x500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1A4E2944-477C-4BFA-A575-399021FA3F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5" descr="http://www.canadalite.com/image/cache/data/Fluorescents/T5BL-500x500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1A4E2944-477C-4BFA-A575-399021FA3F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85" b="11972"/>
                          <a:stretch/>
                        </pic:blipFill>
                        <pic:spPr bwMode="auto">
                          <a:xfrm>
                            <a:off x="0" y="0"/>
                            <a:ext cx="1094920" cy="809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0"/>
            </w:tblGrid>
            <w:tr w:rsidR="00E23C71" w:rsidRPr="00FC52D2" w:rsidTr="004C7682">
              <w:trPr>
                <w:trHeight w:val="315"/>
                <w:tblCellSpacing w:w="0" w:type="dxa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3C71" w:rsidRPr="00FC52D2" w:rsidRDefault="00E23C71" w:rsidP="004C7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s-MX" w:eastAsia="es-MX"/>
                    </w:rPr>
                  </w:pPr>
                </w:p>
              </w:tc>
            </w:tr>
          </w:tbl>
          <w:p w:rsidR="00E23C71" w:rsidRPr="00FC52D2" w:rsidRDefault="00E23C71" w:rsidP="004C76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MX" w:eastAsia="es-MX"/>
              </w:rPr>
            </w:pPr>
          </w:p>
        </w:tc>
        <w:tc>
          <w:tcPr>
            <w:tcW w:w="1916" w:type="dxa"/>
            <w:vMerge w:val="restart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E23C71" w:rsidRPr="00FC52D2" w:rsidTr="004C7682">
        <w:trPr>
          <w:trHeight w:val="1290"/>
          <w:jc w:val="center"/>
        </w:trPr>
        <w:tc>
          <w:tcPr>
            <w:tcW w:w="1366" w:type="dxa"/>
            <w:vMerge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2207" w:type="dxa"/>
            <w:vMerge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1916" w:type="dxa"/>
            <w:vMerge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</w:tr>
      <w:tr w:rsidR="00E23C71" w:rsidRPr="00FC52D2" w:rsidTr="004C7682">
        <w:trPr>
          <w:trHeight w:val="690"/>
          <w:jc w:val="center"/>
        </w:trPr>
        <w:tc>
          <w:tcPr>
            <w:tcW w:w="1366" w:type="dxa"/>
            <w:vMerge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FB32T8/TL841/6 ALTO 20PK</w:t>
            </w:r>
          </w:p>
        </w:tc>
        <w:tc>
          <w:tcPr>
            <w:tcW w:w="2207" w:type="dxa"/>
            <w:shd w:val="clear" w:color="auto" w:fill="auto"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F32T8/TL841/ALTO 30PK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23C71" w:rsidRPr="00FC52D2" w:rsidRDefault="00E23C71" w:rsidP="004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 xml:space="preserve">LED </w:t>
            </w:r>
            <w:r w:rsidR="004A0B26"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</w:t>
            </w: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nstantfit 14.5t8-434605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F28T5/865</w:t>
            </w:r>
          </w:p>
        </w:tc>
      </w:tr>
      <w:tr w:rsidR="00E23C71" w:rsidRPr="00FC52D2" w:rsidTr="004C7682">
        <w:trPr>
          <w:trHeight w:val="315"/>
          <w:jc w:val="center"/>
        </w:trPr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Marca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Phillips</w:t>
            </w:r>
          </w:p>
        </w:tc>
        <w:tc>
          <w:tcPr>
            <w:tcW w:w="2207" w:type="dxa"/>
            <w:shd w:val="clear" w:color="auto" w:fill="auto"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Phillips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Phillips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Construlita</w:t>
            </w:r>
          </w:p>
        </w:tc>
      </w:tr>
      <w:tr w:rsidR="00E23C71" w:rsidRPr="00FC52D2" w:rsidTr="004C7682">
        <w:trPr>
          <w:trHeight w:val="660"/>
          <w:jc w:val="center"/>
        </w:trPr>
        <w:tc>
          <w:tcPr>
            <w:tcW w:w="1366" w:type="dxa"/>
            <w:shd w:val="clear" w:color="auto" w:fill="auto"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Tipo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Lámpara fluorescente</w:t>
            </w:r>
          </w:p>
        </w:tc>
        <w:tc>
          <w:tcPr>
            <w:tcW w:w="2207" w:type="dxa"/>
            <w:shd w:val="clear" w:color="auto" w:fill="auto"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Lámpara fluorescente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LED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Lámpara fluorescente</w:t>
            </w:r>
          </w:p>
        </w:tc>
      </w:tr>
      <w:tr w:rsidR="00E23C71" w:rsidRPr="00FC52D2" w:rsidTr="004C7682">
        <w:trPr>
          <w:trHeight w:val="645"/>
          <w:jc w:val="center"/>
        </w:trPr>
        <w:tc>
          <w:tcPr>
            <w:tcW w:w="1366" w:type="dxa"/>
            <w:shd w:val="clear" w:color="auto" w:fill="auto"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Tiempo de vida (hrs.)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20000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24000-30000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40000-50000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20000</w:t>
            </w:r>
          </w:p>
        </w:tc>
      </w:tr>
      <w:tr w:rsidR="00E23C71" w:rsidRPr="00FC52D2" w:rsidTr="004C7682">
        <w:trPr>
          <w:trHeight w:val="690"/>
          <w:jc w:val="center"/>
        </w:trPr>
        <w:tc>
          <w:tcPr>
            <w:tcW w:w="1366" w:type="dxa"/>
            <w:shd w:val="clear" w:color="auto" w:fill="auto"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Potencia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32 W</w:t>
            </w:r>
          </w:p>
        </w:tc>
        <w:tc>
          <w:tcPr>
            <w:tcW w:w="2207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32 W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14.5 (equivalente           a 32 W)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28 W</w:t>
            </w:r>
          </w:p>
        </w:tc>
      </w:tr>
      <w:tr w:rsidR="00E23C71" w:rsidRPr="00FC52D2" w:rsidTr="004C7682">
        <w:trPr>
          <w:trHeight w:val="315"/>
          <w:jc w:val="center"/>
        </w:trPr>
        <w:tc>
          <w:tcPr>
            <w:tcW w:w="1366" w:type="dxa"/>
            <w:shd w:val="clear" w:color="auto" w:fill="auto"/>
            <w:vAlign w:val="bottom"/>
            <w:hideMark/>
          </w:tcPr>
          <w:p w:rsidR="00E23C71" w:rsidRPr="00FC52D2" w:rsidRDefault="000B18D7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Lúmenes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2800</w:t>
            </w:r>
          </w:p>
        </w:tc>
        <w:tc>
          <w:tcPr>
            <w:tcW w:w="2207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2850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1600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2540</w:t>
            </w:r>
          </w:p>
        </w:tc>
      </w:tr>
      <w:tr w:rsidR="00E23C71" w:rsidRPr="00FC52D2" w:rsidTr="004C7682">
        <w:trPr>
          <w:trHeight w:val="600"/>
          <w:jc w:val="center"/>
        </w:trPr>
        <w:tc>
          <w:tcPr>
            <w:tcW w:w="1366" w:type="dxa"/>
            <w:shd w:val="clear" w:color="auto" w:fill="auto"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Color-Temperatura (K)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4100</w:t>
            </w:r>
          </w:p>
        </w:tc>
        <w:tc>
          <w:tcPr>
            <w:tcW w:w="2207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4100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4000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6500</w:t>
            </w:r>
          </w:p>
        </w:tc>
      </w:tr>
      <w:tr w:rsidR="00E23C71" w:rsidRPr="00FC52D2" w:rsidTr="004C7682">
        <w:trPr>
          <w:trHeight w:val="600"/>
          <w:jc w:val="center"/>
        </w:trPr>
        <w:tc>
          <w:tcPr>
            <w:tcW w:w="1366" w:type="dxa"/>
            <w:shd w:val="clear" w:color="auto" w:fill="auto"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Cantidad de Hg (mg)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2207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1.7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3.5 (marca satco)</w:t>
            </w:r>
          </w:p>
        </w:tc>
      </w:tr>
      <w:tr w:rsidR="00E23C71" w:rsidRPr="00FC52D2" w:rsidTr="004C7682">
        <w:trPr>
          <w:trHeight w:val="315"/>
          <w:jc w:val="center"/>
        </w:trPr>
        <w:tc>
          <w:tcPr>
            <w:tcW w:w="1366" w:type="dxa"/>
            <w:shd w:val="clear" w:color="auto" w:fill="auto"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IRC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85</w:t>
            </w:r>
          </w:p>
        </w:tc>
        <w:tc>
          <w:tcPr>
            <w:tcW w:w="2207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83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85</w:t>
            </w:r>
          </w:p>
        </w:tc>
      </w:tr>
      <w:tr w:rsidR="00E23C71" w:rsidRPr="00FC52D2" w:rsidTr="004C7682">
        <w:trPr>
          <w:trHeight w:val="600"/>
          <w:jc w:val="center"/>
        </w:trPr>
        <w:tc>
          <w:tcPr>
            <w:tcW w:w="1366" w:type="dxa"/>
            <w:shd w:val="clear" w:color="auto" w:fill="auto"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Precio (pesos)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$149.00</w:t>
            </w:r>
          </w:p>
        </w:tc>
        <w:tc>
          <w:tcPr>
            <w:tcW w:w="2207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$75.00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$349.00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$149.00</w:t>
            </w:r>
          </w:p>
        </w:tc>
      </w:tr>
      <w:tr w:rsidR="00E23C71" w:rsidRPr="00FC52D2" w:rsidTr="004C7682">
        <w:trPr>
          <w:trHeight w:val="630"/>
          <w:jc w:val="center"/>
        </w:trPr>
        <w:tc>
          <w:tcPr>
            <w:tcW w:w="1366" w:type="dxa"/>
            <w:shd w:val="clear" w:color="auto" w:fill="auto"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Total instalado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38</w:t>
            </w:r>
          </w:p>
        </w:tc>
        <w:tc>
          <w:tcPr>
            <w:tcW w:w="2207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219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24</w:t>
            </w:r>
          </w:p>
        </w:tc>
      </w:tr>
      <w:tr w:rsidR="00E23C71" w:rsidRPr="00FC52D2" w:rsidTr="004C7682">
        <w:trPr>
          <w:trHeight w:val="630"/>
          <w:jc w:val="center"/>
        </w:trPr>
        <w:tc>
          <w:tcPr>
            <w:tcW w:w="1366" w:type="dxa"/>
            <w:shd w:val="clear" w:color="auto" w:fill="auto"/>
            <w:vAlign w:val="bottom"/>
            <w:hideMark/>
          </w:tcPr>
          <w:p w:rsidR="00E23C71" w:rsidRPr="00FC52D2" w:rsidRDefault="00E23C71" w:rsidP="004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Total funcionando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FF6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s-MX" w:eastAsia="es-MX"/>
              </w:rPr>
            </w:pPr>
            <w:r w:rsidRPr="00FC52D2">
              <w:rPr>
                <w:rFonts w:ascii="Calibri" w:eastAsia="Times New Roman" w:hAnsi="Calibri" w:cs="Calibri"/>
                <w:color w:val="000000" w:themeColor="text1"/>
                <w:lang w:val="es-MX" w:eastAsia="es-MX"/>
              </w:rPr>
              <w:t>17</w:t>
            </w:r>
          </w:p>
        </w:tc>
        <w:tc>
          <w:tcPr>
            <w:tcW w:w="2207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FF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192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FF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:rsidR="00E23C71" w:rsidRPr="00FC52D2" w:rsidRDefault="00E23C71" w:rsidP="00FF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</w:pPr>
            <w:r w:rsidRPr="00FC5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 w:eastAsia="es-MX"/>
              </w:rPr>
              <w:t>24</w:t>
            </w:r>
          </w:p>
        </w:tc>
      </w:tr>
    </w:tbl>
    <w:p w:rsidR="000341E9" w:rsidRDefault="000341E9" w:rsidP="000D405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E23C71" w:rsidRPr="00FC52D2" w:rsidRDefault="00E23C71" w:rsidP="000D405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Fuentes: </w:t>
      </w:r>
      <w:r w:rsidR="002B7FB5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Precios: www.homedepot.com.mx.                                                              Imágenes y datos: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www.usa.lighting.philips.com, www.satco.com</w:t>
      </w:r>
    </w:p>
    <w:p w:rsidR="00E23C71" w:rsidRPr="00FC52D2" w:rsidRDefault="00E23C71" w:rsidP="00F842C4">
      <w:pPr>
        <w:pStyle w:val="Prrafodelista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3B24BE" w:rsidRPr="00FC52D2" w:rsidRDefault="0052629A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 base a esta información,</w:t>
      </w:r>
      <w:r w:rsidR="0062579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se utilizó la herramienta “</w:t>
      </w:r>
      <w:r w:rsidR="003B24B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payback calculator</w:t>
      </w:r>
      <w:r w:rsidR="004A0B2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”</w:t>
      </w:r>
      <w:r w:rsidR="003B24B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62579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del </w:t>
      </w:r>
      <w:r w:rsidR="000B18D7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fabricante</w:t>
      </w:r>
      <w:r w:rsidR="0062579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4A0B2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Philips, </w:t>
      </w:r>
      <w:r w:rsidR="00FD769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para simular el reemplazo de las 75 lámparas fluorescentes de 32w, </w:t>
      </w:r>
      <w:r w:rsidR="004A0B2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considerando</w:t>
      </w:r>
      <w:r w:rsidR="003B24B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1 dólar </w:t>
      </w:r>
      <w:r w:rsidR="004A0B26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como </w:t>
      </w:r>
      <w:r w:rsidR="003B24B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equivalente a 20 pesos mexicanos</w:t>
      </w:r>
      <w:r w:rsidR="00FD769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 S</w:t>
      </w:r>
      <w:r w:rsidR="003B24B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 obtuvo l</w:t>
      </w:r>
      <w:r w:rsidR="00FD7690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o que muestra la figura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5</w:t>
      </w:r>
      <w:r w:rsidR="003B24B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:</w:t>
      </w:r>
    </w:p>
    <w:p w:rsidR="00625798" w:rsidRPr="00FC52D2" w:rsidRDefault="003B24BE" w:rsidP="00C3519A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 w:eastAsia="es-MX"/>
        </w:rPr>
        <w:lastRenderedPageBreak/>
        <w:drawing>
          <wp:inline distT="0" distB="0" distL="0" distR="0" wp14:anchorId="2F934BBD" wp14:editId="40CD4CDB">
            <wp:extent cx="5612130" cy="2727325"/>
            <wp:effectExtent l="0" t="0" r="7620" b="0"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8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4BE" w:rsidRPr="00FC52D2" w:rsidRDefault="003B24BE" w:rsidP="00F842C4">
      <w:pPr>
        <w:pStyle w:val="Prrafodelista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 xml:space="preserve">Figura </w:t>
      </w:r>
      <w:r w:rsidR="008F52BB" w:rsidRP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5</w:t>
      </w:r>
      <w:r w:rsidR="00F104E3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.</w:t>
      </w:r>
      <w:r w:rsidR="00C3519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Simulación de ahorro por reemplazo de lámparas a tecnología LED.</w:t>
      </w:r>
    </w:p>
    <w:p w:rsidR="003B24BE" w:rsidRPr="00FC52D2" w:rsidRDefault="003B24BE" w:rsidP="00F842C4">
      <w:pPr>
        <w:pStyle w:val="Prrafodelista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Fuente: </w:t>
      </w:r>
      <w:r w:rsidR="00C3519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http://www.usa.lighting.philips.com/products/product-highlights/instantfit</w:t>
      </w:r>
    </w:p>
    <w:p w:rsidR="003B24BE" w:rsidRPr="00FC52D2" w:rsidRDefault="0052629A" w:rsidP="0052629A">
      <w:pPr>
        <w:pStyle w:val="Prrafodelista"/>
        <w:tabs>
          <w:tab w:val="left" w:pos="580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ab/>
      </w:r>
    </w:p>
    <w:p w:rsidR="003B24BE" w:rsidRPr="00FC52D2" w:rsidRDefault="00050D32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La herramienta estima recuperar la inversión</w:t>
      </w:r>
      <w:r w:rsidR="00FF63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de la compra de estas lámparas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en 2.8 años, </w:t>
      </w:r>
      <w:r w:rsidR="00FF63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al ahorrar el equivalente a 10,775 kWh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por la </w:t>
      </w:r>
      <w:r w:rsidR="00FF63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disminución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de consumo </w:t>
      </w:r>
      <w:r w:rsidR="00FF63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eléctrico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  <w:r w:rsidR="00FF63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Otro enfoque </w:t>
      </w:r>
      <w:r w:rsidR="00CF47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relevante</w:t>
      </w:r>
      <w:r w:rsidR="00FF63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para esta inversión</w:t>
      </w:r>
      <w:r w:rsidR="00CF47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="00FF63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CF47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es</w:t>
      </w:r>
      <w:r w:rsidR="00FF63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el relacionado con la disminución del impacto ambiental</w:t>
      </w:r>
      <w:r w:rsidR="003C4A06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52629A" w:rsidRPr="000B18D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(Serrano Tierz, Martínez Iturbide, Guarddon Muñoz, &amp; Santolaya Sáenz, 2015, pág. 232)</w:t>
      </w:r>
      <w:r w:rsidR="00FF63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. </w:t>
      </w:r>
      <w:r w:rsidR="003B24B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Utilizando la calculadora </w:t>
      </w:r>
      <w:r w:rsidR="0052629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de la página de la Environmental Protection Agency (</w:t>
      </w:r>
      <w:r w:rsidR="0052629A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EPA</w:t>
      </w:r>
      <w:r w:rsidR="0052629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)</w:t>
      </w:r>
      <w:r w:rsidR="0052629A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52629A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FF63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para estimar equivalencias de gases de efecto invernadero, </w:t>
      </w:r>
      <w:r w:rsidR="00CF47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se obtuvo el dato de que </w:t>
      </w:r>
      <w:r w:rsidR="003B24B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estos 10,775kWh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ahorrados</w:t>
      </w:r>
      <w:r w:rsidR="00FF638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3B24BE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serían equivalentes a prevenir la emisión de 7,572 kg de CO</w:t>
      </w:r>
      <w:r w:rsidR="003B24BE" w:rsidRPr="00FC52D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s-MX"/>
        </w:rPr>
        <w:t>2.</w:t>
      </w:r>
    </w:p>
    <w:p w:rsidR="00927A42" w:rsidRPr="00FC52D2" w:rsidRDefault="00927A42" w:rsidP="004D2B19">
      <w:pPr>
        <w:pStyle w:val="Prrafodelista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0D4058" w:rsidRPr="00FC52D2" w:rsidRDefault="000D4058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Otra forma de disminuir el consumo consiste en considerar controles para el turno vespertino por parte de los prefectos y el profesorado para asegurarse de que se utilice la iluminación solo cuando sea necesaria</w:t>
      </w:r>
      <w:r w:rsidR="00CF47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 P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or </w:t>
      </w:r>
      <w:r w:rsidR="0052629A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poner un ejemplo, los salones que se desocupen, no deben dejarse con las luces encendidas. Lo anterior debido a que el costo por kilowatt-hora es más caro, de </w:t>
      </w:r>
      <w:r w:rsidR="0052629A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las 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20:00-22:00 en el horario de verano y de 18:00 a 22:00 en horario de invierno </w:t>
      </w:r>
      <w:r w:rsidR="0052629A" w:rsidRPr="000B18D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(Comisión Federal de Electricidad, 2017)</w:t>
      </w:r>
      <w:r w:rsidR="00BB065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 xml:space="preserve"> de lunes a viernes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p w:rsidR="000D4058" w:rsidRDefault="000D4058" w:rsidP="004D2B19">
      <w:pPr>
        <w:pStyle w:val="Prrafodelista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pStyle w:val="Prrafodelista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Pr="00FC52D2" w:rsidRDefault="00F104E3" w:rsidP="004D2B19">
      <w:pPr>
        <w:pStyle w:val="Prrafodelista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ED2D11" w:rsidRPr="00FC52D2" w:rsidRDefault="00695CCE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lastRenderedPageBreak/>
        <w:t xml:space="preserve">El punto </w:t>
      </w:r>
      <w:r w:rsidR="00ED2D1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5.8 de la norma 025, requiere que los ocupantes de las instalaciones tengan conocimiento de los riesgos asociados al deslumbramiento o a niv</w:t>
      </w:r>
      <w:r w:rsidR="00A7109B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el</w:t>
      </w:r>
      <w:r w:rsidR="00ED2D11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es deficientes de iluminación. Esto puede llevarse a cumplimiento mediante carteles alusivos, pláticas, panfletos informativos por ejemplo </w:t>
      </w:r>
      <w:r w:rsidR="0052629A" w:rsidRPr="000B18D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(Secretaría del Trabajo y Previsión Social, 2017)</w:t>
      </w:r>
    </w:p>
    <w:p w:rsidR="00ED2D11" w:rsidRPr="00FC52D2" w:rsidRDefault="00ED2D11" w:rsidP="004D2B19">
      <w:pPr>
        <w:pStyle w:val="Prrafodelista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927A42" w:rsidRPr="00FC52D2" w:rsidRDefault="00A7109B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Al revisar el punto 5.11 se constató que </w:t>
      </w:r>
      <w:r w:rsidR="0052629A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o se cuenta con sistemas de iluminación de emergencia, al menos para las áreas que se consideran como ruta de evacuación.</w:t>
      </w:r>
    </w:p>
    <w:p w:rsidR="006B7499" w:rsidRPr="00FC52D2" w:rsidRDefault="006B7499" w:rsidP="004D2B19">
      <w:pPr>
        <w:pStyle w:val="Prrafodelista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DF7937" w:rsidRPr="00FC52D2" w:rsidRDefault="006B7499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El punto 5.10, requiere que exista un programa de mantenimiento a las luminarias. Se cuenta con registro del mantenimiento correctivo, sin embargo, es deseable aplicar las </w:t>
      </w:r>
      <w:r w:rsidR="000B18D7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siguientes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del apartado 11 de la norma, a saber, la limpieza, ventilación, reemplazo, adecuaciones para evitar riesgos a la salud y elementos de </w:t>
      </w:r>
      <w:r w:rsidR="000B18D7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pre encendido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y calentamiento. </w:t>
      </w:r>
    </w:p>
    <w:p w:rsidR="000D4058" w:rsidRPr="00FC52D2" w:rsidRDefault="000D4058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6B7499" w:rsidRPr="00FC52D2" w:rsidRDefault="000B18D7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Además, este programa </w:t>
      </w:r>
      <w:r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debería </w:t>
      </w:r>
      <w:r w:rsidR="00CF47D2" w:rsidRPr="00CF47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tomar</w:t>
      </w:r>
      <w:r w:rsidR="00CF47D2"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en </w:t>
      </w:r>
      <w:r w:rsidR="00CF47D2" w:rsidRPr="00CF47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cuenta</w:t>
      </w:r>
      <w:r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 fecha de instalación de las lámparas, su ubicación, minimizar el número de modelos diferentes, contar con </w:t>
      </w:r>
      <w:r w:rsidR="00BB065E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elementos en existencia para re</w:t>
      </w:r>
      <w:r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emplazo, sustituir las luminarias dañadas u obsoletas por nuevas tecnologías, programar pintura a las superficies y las formas sustentables de desecho de las lámparas</w:t>
      </w:r>
      <w:r w:rsidR="0052629A"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52629A" w:rsidRPr="0052629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(ANSI, 2013)</w:t>
      </w:r>
      <w:r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; ya que, las lámparas fluorescentes </w:t>
      </w:r>
      <w:r w:rsidR="00CF47D2"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son</w:t>
      </w:r>
      <w:r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residuos peligrosos y </w:t>
      </w:r>
      <w:r w:rsidR="00CF47D2"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deben </w:t>
      </w:r>
      <w:r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ser dispuestas conforme al plan de manejo que </w:t>
      </w:r>
      <w:r w:rsidR="003B2E09"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desarrolle</w:t>
      </w:r>
      <w:r w:rsidRPr="00D9310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 institución en base al artículo 31 fracción VI de la LGPGIR.</w:t>
      </w:r>
    </w:p>
    <w:p w:rsidR="00C76396" w:rsidRDefault="00C76396" w:rsidP="004D2B1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</w:p>
    <w:p w:rsidR="00927A42" w:rsidRDefault="00927A42" w:rsidP="004D2B1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  <w:t>Conclusiones</w:t>
      </w:r>
    </w:p>
    <w:p w:rsidR="00897607" w:rsidRDefault="00897607" w:rsidP="004D2B1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</w:p>
    <w:p w:rsidR="009B18E4" w:rsidRDefault="00C10A52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Dentro de la preocupación de la sustentabilidad</w:t>
      </w:r>
      <w:r w:rsidR="003B2E0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es importante la procuración de ambientes que aporten al mejor desempeño de nuestros alumnos</w:t>
      </w:r>
      <w:r w:rsidR="009B18E4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 C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ontar con condiciones de </w:t>
      </w:r>
      <w:r w:rsidR="00B444F8"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iluminación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aprobadas impactará positivamente en el procesamiento de la información y al estado de ánimo de trabajo de los estudiantes </w:t>
      </w:r>
      <w:r w:rsidR="0052629A" w:rsidRPr="000B18D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(Martínez Fuentes, Pérez Olguin, &amp; Tovar Vázquez, 2016)</w:t>
      </w:r>
      <w:r w:rsidRPr="00FC52D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  <w:r w:rsidR="00307B0A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</w:p>
    <w:p w:rsidR="009B18E4" w:rsidRDefault="009B18E4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B444F8" w:rsidRDefault="00307B0A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lastRenderedPageBreak/>
        <w:t xml:space="preserve">Lo analizado en el presente </w:t>
      </w:r>
      <w:r w:rsidR="00E36241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muestra que hay áreas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con incumplimiento</w:t>
      </w:r>
      <w:r w:rsidR="009B18E4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que</w:t>
      </w:r>
      <w:r w:rsidR="00E36241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requieren </w:t>
      </w:r>
      <w:r w:rsidR="009B18E4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la aplicación de medidas de corrección y control</w:t>
      </w:r>
      <w:r w:rsidR="003B2E0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; particularmente </w:t>
      </w:r>
      <w:r w:rsidR="00474B9E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en</w:t>
      </w:r>
      <w:r w:rsidR="009B18E4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los laboratorio con equipos de cómputo y los de ciencias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  <w:r w:rsidR="00B444F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9B18E4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 acuerdo a lo mencionado en </w:t>
      </w:r>
      <w:r w:rsidR="00231867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el apartado 10.3 de NOM-025-</w:t>
      </w:r>
      <w:r w:rsidR="009B18E4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STPS</w:t>
      </w:r>
      <w:r w:rsidR="00231867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-2008</w:t>
      </w:r>
      <w:r w:rsidR="009B18E4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, </w:t>
      </w:r>
      <w:r w:rsidR="00231867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lo conducente sería elaborar un programa  de medidas a desarrollar para atacar las </w:t>
      </w:r>
      <w:r w:rsidR="009B18E4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deficiencias detectadas </w:t>
      </w:r>
      <w:r w:rsidR="00231867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y</w:t>
      </w:r>
      <w:r w:rsidR="00474B9E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="00231867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una vez que hayan sido</w:t>
      </w:r>
      <w:r w:rsidR="009B18E4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corregidas</w:t>
      </w:r>
      <w:r w:rsidR="00474B9E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="009B18E4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231867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realizar una nueva evaluación.</w:t>
      </w:r>
      <w:r w:rsidR="00474B9E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Es pertinente señalar</w:t>
      </w:r>
      <w:r w:rsidR="003B2E0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="00474B9E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que se </w:t>
      </w:r>
      <w:r w:rsidR="003B2E0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estima</w:t>
      </w:r>
      <w:r w:rsidR="00474B9E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que los laboratorios de ciencias tuvieron una renovación de luminarias hace  aproximadamente año y medio. Haber contado con un análisis similar al presente, habría aportado</w:t>
      </w:r>
      <w:r w:rsidR="006254BD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="00474B9E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al </w:t>
      </w:r>
      <w:r w:rsidR="006254BD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involucrar</w:t>
      </w:r>
      <w:r w:rsidR="00474B9E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el aspecto de cumplimiento en la inversión. </w:t>
      </w:r>
      <w:r w:rsidR="00B444F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Este estudio comprendió sol</w:t>
      </w:r>
      <w:r w:rsidR="003B2E0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amente</w:t>
      </w:r>
      <w:r w:rsidR="00B444F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las instalaciones de una carrera, pero debe hacerse extensivo a las demás áreas de la institución educativa.</w:t>
      </w:r>
    </w:p>
    <w:p w:rsidR="009B18E4" w:rsidRDefault="009B18E4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727624" w:rsidRDefault="00B444F8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D86C1D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Para </w:t>
      </w:r>
      <w:r w:rsidR="003E630B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ser</w:t>
      </w:r>
      <w:r w:rsidRPr="00D86C1D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sustentables en materia ambiental, deben establecerse y medirse indicadores sobre los impactos ambientales que genere la universidad; y el consumo energético, es un aspecto significativo, más aún en el contexto de los acuerdos de París en los que México se compromete a reducir sus emisiones de gases de efecto invernadero en 22% </w:t>
      </w:r>
      <w:r w:rsidR="00F06CDD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para el año 2030 </w:t>
      </w:r>
      <w:r w:rsidR="006254BD" w:rsidRPr="000B18D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MX"/>
        </w:rPr>
        <w:t>(Arenapublica.com, 2017)</w:t>
      </w:r>
      <w:r w:rsidRPr="00D86C1D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.</w:t>
      </w: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Pr="00D86C1D" w:rsidRDefault="00F104E3" w:rsidP="004D2B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p w:rsidR="00F104E3" w:rsidRDefault="00F104E3" w:rsidP="00F104E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</w:p>
    <w:p w:rsidR="00E36241" w:rsidRPr="00F104E3" w:rsidRDefault="00F104E3" w:rsidP="00F104E3">
      <w:pPr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_tradnl" w:eastAsia="es-MX"/>
        </w:rPr>
      </w:pPr>
      <w:r w:rsidRPr="00F104E3">
        <w:rPr>
          <w:rFonts w:ascii="Calibri" w:eastAsia="Times New Roman" w:hAnsi="Calibri" w:cs="Calibri"/>
          <w:color w:val="7030A0"/>
          <w:sz w:val="28"/>
          <w:szCs w:val="28"/>
          <w:lang w:val="es-ES_tradnl" w:eastAsia="es-MX"/>
        </w:rPr>
        <w:lastRenderedPageBreak/>
        <w:t>Bibliografía</w:t>
      </w:r>
    </w:p>
    <w:p w:rsidR="002B7FB5" w:rsidRDefault="002B7FB5" w:rsidP="002B7FB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54A2">
        <w:rPr>
          <w:rFonts w:ascii="Times New Roman" w:hAnsi="Times New Roman" w:cs="Times New Roman"/>
          <w:sz w:val="24"/>
          <w:szCs w:val="24"/>
        </w:rPr>
        <w:fldChar w:fldCharType="begin"/>
      </w:r>
      <w:r w:rsidRPr="00F754A2">
        <w:rPr>
          <w:rFonts w:ascii="Times New Roman" w:hAnsi="Times New Roman" w:cs="Times New Roman"/>
          <w:sz w:val="24"/>
          <w:szCs w:val="24"/>
          <w:lang w:val="es-MX"/>
        </w:rPr>
        <w:instrText xml:space="preserve"> BIBLIOGRAPHY  \l 2058 </w:instrText>
      </w:r>
      <w:r w:rsidRPr="00F754A2">
        <w:rPr>
          <w:rFonts w:ascii="Times New Roman" w:hAnsi="Times New Roman" w:cs="Times New Roman"/>
          <w:sz w:val="24"/>
          <w:szCs w:val="24"/>
        </w:rPr>
        <w:fldChar w:fldCharType="separate"/>
      </w: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Anónimo. (6 de junio de 2017). La tecnología LED brilla por sí misma. </w:t>
      </w:r>
      <w:r w:rsidRPr="00F754A2">
        <w:rPr>
          <w:rFonts w:ascii="Times New Roman" w:hAnsi="Times New Roman" w:cs="Times New Roman"/>
          <w:i/>
          <w:iCs/>
          <w:noProof/>
          <w:sz w:val="24"/>
          <w:szCs w:val="24"/>
        </w:rPr>
        <w:t>El Norte (suplemento comercial)</w:t>
      </w:r>
      <w:r w:rsidRPr="00F754A2">
        <w:rPr>
          <w:rFonts w:ascii="Times New Roman" w:hAnsi="Times New Roman" w:cs="Times New Roman"/>
          <w:noProof/>
          <w:sz w:val="24"/>
          <w:szCs w:val="24"/>
        </w:rPr>
        <w:t>, pág. 6.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54A2">
        <w:rPr>
          <w:rFonts w:ascii="Times New Roman" w:hAnsi="Times New Roman" w:cs="Times New Roman"/>
          <w:noProof/>
          <w:sz w:val="24"/>
          <w:szCs w:val="24"/>
        </w:rPr>
        <w:t>ANSI. (2013). American National Standard Practice on Lightning for Educational Facilities ANSI/IES RP-3-13. Nueva York, Estados Unidos: Illuminating Engineering Society of North America.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Arenapublica.com. (8 de junio de 2017). </w:t>
      </w:r>
      <w:r w:rsidRPr="00F754A2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Arenapublica.com</w:t>
      </w: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>. Obtenido de http://arenapublica.com/articulo/2017/06/08/5943/mexico-en-el-acuerdo-de-paris-contaminacion-de-carros-calidad-ambiental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Comisión Federal de Electricidad. (junio de 2017). </w:t>
      </w:r>
      <w:r w:rsidRPr="00F754A2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www.cfe.gob.mx.</w:t>
      </w: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Obtenido de http://app.cfe.gob.mx/aplicaciones/ccfe/tarifas/tarifas/tarifas_negocio.asp?Tarifa=HM&amp;Anio=2017&amp;mes=6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Environmental Protection Agency. (s.f.). </w:t>
      </w:r>
      <w:r w:rsidRPr="00F754A2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Greenhouse Gas Equivalencies Calculator</w:t>
      </w: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>. Obtenido de https://www.epa.gov/energy/greenhouse-gas-equivalencies-calculator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Extech Instruments Corporation. (2010). Manual de Usuario Medidor Digital de Luz EasyView. </w:t>
      </w:r>
      <w:r w:rsidRPr="00F754A2">
        <w:rPr>
          <w:rFonts w:ascii="Times New Roman" w:hAnsi="Times New Roman" w:cs="Times New Roman"/>
          <w:noProof/>
          <w:sz w:val="24"/>
          <w:szCs w:val="24"/>
        </w:rPr>
        <w:t>Massachusetts, Estados Unidos.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754A2">
        <w:rPr>
          <w:rFonts w:ascii="Times New Roman" w:hAnsi="Times New Roman" w:cs="Times New Roman"/>
          <w:noProof/>
          <w:sz w:val="24"/>
          <w:szCs w:val="24"/>
        </w:rPr>
        <w:t xml:space="preserve">Harvey, D. (2010). </w:t>
      </w:r>
      <w:r w:rsidRPr="00F754A2">
        <w:rPr>
          <w:rFonts w:ascii="Times New Roman" w:hAnsi="Times New Roman" w:cs="Times New Roman"/>
          <w:i/>
          <w:iCs/>
          <w:noProof/>
          <w:sz w:val="24"/>
          <w:szCs w:val="24"/>
        </w:rPr>
        <w:t>Energy Efficency and the Demand for Energy Services.</w:t>
      </w:r>
      <w:r w:rsidRPr="00F754A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>Londres: Earthscan.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754A2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Home Depot México</w:t>
      </w: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>. (s.f.). Obtenido de www.homedepot.com.mx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54A2">
        <w:rPr>
          <w:rFonts w:ascii="Times New Roman" w:hAnsi="Times New Roman" w:cs="Times New Roman"/>
          <w:noProof/>
          <w:sz w:val="24"/>
          <w:szCs w:val="24"/>
        </w:rPr>
        <w:t>Labour Department Government of Hong Kong. (Diciembre de 2008). Obtenido de Lighting Assessment in the workplace: http://www.labour.gov.hk/eng/public/oh/Lighting.pdf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Martínez Fuentes, L., Pérez Olguin, I. J., &amp; Tovar Vázquez, É. (2016). Estudio de la calidad de iluminación en edificios de la universidad tecnológica de ciudad Juárez. </w:t>
      </w:r>
      <w:r w:rsidRPr="00F754A2">
        <w:rPr>
          <w:rFonts w:ascii="Times New Roman" w:hAnsi="Times New Roman" w:cs="Times New Roman"/>
          <w:i/>
          <w:iCs/>
          <w:noProof/>
          <w:sz w:val="24"/>
          <w:szCs w:val="24"/>
        </w:rPr>
        <w:t>Theorema</w:t>
      </w:r>
      <w:r w:rsidRPr="00F754A2">
        <w:rPr>
          <w:rFonts w:ascii="Times New Roman" w:hAnsi="Times New Roman" w:cs="Times New Roman"/>
          <w:noProof/>
          <w:sz w:val="24"/>
          <w:szCs w:val="24"/>
        </w:rPr>
        <w:t>, 38-46.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754A2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Philips. (s.f.). </w:t>
      </w:r>
      <w:r w:rsidRPr="00F754A2">
        <w:rPr>
          <w:rFonts w:ascii="Times New Roman" w:hAnsi="Times New Roman" w:cs="Times New Roman"/>
          <w:i/>
          <w:iCs/>
          <w:noProof/>
          <w:sz w:val="24"/>
          <w:szCs w:val="24"/>
        </w:rPr>
        <w:t>http://www.usa.lighting.philips.com/products/product-highlights/instantfit</w:t>
      </w:r>
      <w:r w:rsidRPr="00F754A2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>Obtenido de http://images.philips.com/is/content/PhilipsConsumer/PDFDownloads/United%20States/ODLI20160302_003_UPD_en_US_LED-Lamps-InstantFit-PB-Calculator-v4.0.zip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Secretaría del Medio Ambiente y Recursos Naturales. (8 de octubre de 2003). </w:t>
      </w:r>
      <w:r w:rsidRPr="00F754A2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Ley General para la prevención y Gestión Integral de los Residuos.</w:t>
      </w: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Obtenido de www.diputados.gob.mx: http://www.diputados.gob.mx/LeyesBiblio/ref/lgpgir/LGPGIR_orig_08oct03.pdf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Secretaría del Trabajo y Previsión Social. (s.f.). </w:t>
      </w:r>
      <w:r w:rsidRPr="00F754A2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Norma Oficial Mexicana NOM-025-STPS-2008, Condiciones de iluminación en los centros de trabajo.</w:t>
      </w: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México.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Secretaría del Trabajo y Previsión Social. (2017). </w:t>
      </w:r>
      <w:r w:rsidRPr="00F754A2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Protocolo de Inspección en Materia de Seguridad e Higiene para Tiendas de Autoservicio.</w:t>
      </w: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Obtenido de http://www.gob.mx/cms/uploads/attachment/file/220893/ProtocoloANTAD.pdf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Serrano Tierz, A., Martínez Iturbide, A., Guarddon Muñoz, O., &amp; Santolaya Sáenz, J. (2015). Análisis del ahorro energético en iluminación LED industrial: Un estudio de caso. </w:t>
      </w:r>
      <w:r w:rsidRPr="00F754A2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Dyna, 82</w:t>
      </w: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>(191), 231-239.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Tonello, G., &amp; Valladares, N. (2015). Conciencia ambiental y conducta sustentable relacionada con el uso de energía para iluminación. </w:t>
      </w:r>
      <w:r w:rsidRPr="00F754A2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Gestión y Ambiente</w:t>
      </w: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>, 45-58.</w:t>
      </w:r>
    </w:p>
    <w:p w:rsidR="002B7FB5" w:rsidRPr="00F754A2" w:rsidRDefault="002B7FB5" w:rsidP="00F104E3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Zumtobel Lighting GmbH . (Octubre de 2013). </w:t>
      </w:r>
      <w:r w:rsidRPr="00F754A2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The Lightning Handbook.</w:t>
      </w:r>
      <w:r w:rsidRPr="00F754A2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Obtenido de www.zumtobel.com/PDB/teaser/ES/Lichthandbuch.pdf</w:t>
      </w:r>
    </w:p>
    <w:p w:rsidR="002B7FB5" w:rsidRPr="002B7FB5" w:rsidRDefault="002B7FB5" w:rsidP="00F104E3">
      <w:pPr>
        <w:spacing w:after="0" w:line="360" w:lineRule="auto"/>
        <w:jc w:val="both"/>
        <w:rPr>
          <w:lang w:val="es-MX"/>
        </w:rPr>
      </w:pPr>
      <w:r w:rsidRPr="00F754A2">
        <w:rPr>
          <w:rFonts w:ascii="Times New Roman" w:hAnsi="Times New Roman" w:cs="Times New Roman"/>
          <w:sz w:val="24"/>
          <w:szCs w:val="24"/>
        </w:rPr>
        <w:fldChar w:fldCharType="end"/>
      </w:r>
    </w:p>
    <w:p w:rsidR="002C172D" w:rsidRPr="00FC52D2" w:rsidRDefault="002C172D" w:rsidP="004D2B1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</w:p>
    <w:sectPr w:rsidR="002C172D" w:rsidRPr="00FC52D2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7D" w:rsidRDefault="00406D7D" w:rsidP="00CB5739">
      <w:pPr>
        <w:spacing w:after="0" w:line="240" w:lineRule="auto"/>
      </w:pPr>
      <w:r>
        <w:separator/>
      </w:r>
    </w:p>
  </w:endnote>
  <w:endnote w:type="continuationSeparator" w:id="0">
    <w:p w:rsidR="00406D7D" w:rsidRDefault="00406D7D" w:rsidP="00CB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069178"/>
      <w:docPartObj>
        <w:docPartGallery w:val="Page Numbers (Bottom of Page)"/>
        <w:docPartUnique/>
      </w:docPartObj>
    </w:sdtPr>
    <w:sdtContent>
      <w:p w:rsidR="00F43401" w:rsidRDefault="00F43401" w:rsidP="00F104E3">
        <w:pPr>
          <w:pStyle w:val="Piedepgina"/>
          <w:jc w:val="center"/>
        </w:pPr>
        <w:proofErr w:type="spellStart"/>
        <w:r w:rsidRPr="009B623E">
          <w:rPr>
            <w:rFonts w:cs="Calibri"/>
            <w:b/>
          </w:rPr>
          <w:t>Publicación</w:t>
        </w:r>
        <w:proofErr w:type="spellEnd"/>
        <w:r w:rsidRPr="009B623E">
          <w:rPr>
            <w:rFonts w:cs="Calibri"/>
            <w:b/>
          </w:rPr>
          <w:t xml:space="preserve"> # 07                    </w:t>
        </w:r>
        <w:proofErr w:type="spellStart"/>
        <w:r w:rsidRPr="009B623E">
          <w:rPr>
            <w:rFonts w:cs="Calibri"/>
            <w:b/>
          </w:rPr>
          <w:t>Enero</w:t>
        </w:r>
        <w:proofErr w:type="spellEnd"/>
        <w:r w:rsidRPr="009B623E">
          <w:rPr>
            <w:rFonts w:cs="Calibri"/>
            <w:b/>
          </w:rPr>
          <w:t xml:space="preserve"> – </w:t>
        </w:r>
        <w:proofErr w:type="spellStart"/>
        <w:r w:rsidRPr="009B623E">
          <w:rPr>
            <w:rFonts w:cs="Calibri"/>
            <w:b/>
          </w:rPr>
          <w:t>Junio</w:t>
        </w:r>
        <w:proofErr w:type="spellEnd"/>
        <w:r w:rsidRPr="009B623E">
          <w:rPr>
            <w:rFonts w:cs="Calibri"/>
            <w:b/>
          </w:rPr>
          <w:t xml:space="preserve"> 2017                           PAG</w:t>
        </w:r>
      </w:p>
    </w:sdtContent>
  </w:sdt>
  <w:p w:rsidR="00F43401" w:rsidRDefault="00F434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7D" w:rsidRDefault="00406D7D" w:rsidP="00CB5739">
      <w:pPr>
        <w:spacing w:after="0" w:line="240" w:lineRule="auto"/>
      </w:pPr>
      <w:r>
        <w:separator/>
      </w:r>
    </w:p>
  </w:footnote>
  <w:footnote w:type="continuationSeparator" w:id="0">
    <w:p w:rsidR="00406D7D" w:rsidRDefault="00406D7D" w:rsidP="00CB5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401" w:rsidRDefault="00F43401" w:rsidP="00F104E3">
    <w:pPr>
      <w:pStyle w:val="Encabezado"/>
      <w:jc w:val="center"/>
    </w:pPr>
    <w:proofErr w:type="spellStart"/>
    <w:r w:rsidRPr="009B623E">
      <w:rPr>
        <w:rFonts w:cs="Calibri"/>
        <w:b/>
        <w:i/>
      </w:rPr>
      <w:t>Revista</w:t>
    </w:r>
    <w:proofErr w:type="spellEnd"/>
    <w:r w:rsidRPr="009B623E">
      <w:rPr>
        <w:rFonts w:cs="Calibri"/>
        <w:b/>
        <w:i/>
      </w:rPr>
      <w:t xml:space="preserve"> </w:t>
    </w:r>
    <w:proofErr w:type="spellStart"/>
    <w:r w:rsidRPr="009B623E">
      <w:rPr>
        <w:rFonts w:cs="Calibri"/>
        <w:b/>
        <w:i/>
      </w:rPr>
      <w:t>Iberoamericana</w:t>
    </w:r>
    <w:proofErr w:type="spellEnd"/>
    <w:r w:rsidRPr="009B623E">
      <w:rPr>
        <w:rFonts w:cs="Calibri"/>
        <w:b/>
        <w:i/>
      </w:rPr>
      <w:t xml:space="preserve"> de </w:t>
    </w:r>
    <w:proofErr w:type="spellStart"/>
    <w:r w:rsidRPr="009B623E">
      <w:rPr>
        <w:rFonts w:cs="Calibri"/>
        <w:b/>
        <w:i/>
      </w:rPr>
      <w:t>Producción</w:t>
    </w:r>
    <w:proofErr w:type="spellEnd"/>
    <w:r w:rsidRPr="009B623E">
      <w:rPr>
        <w:rFonts w:cs="Calibri"/>
        <w:b/>
        <w:i/>
      </w:rPr>
      <w:t xml:space="preserve"> </w:t>
    </w:r>
    <w:proofErr w:type="spellStart"/>
    <w:r w:rsidRPr="009B623E">
      <w:rPr>
        <w:rFonts w:cs="Calibri"/>
        <w:b/>
        <w:i/>
      </w:rPr>
      <w:t>Académica</w:t>
    </w:r>
    <w:proofErr w:type="spellEnd"/>
    <w:r w:rsidRPr="009B623E">
      <w:rPr>
        <w:rFonts w:cs="Calibri"/>
        <w:b/>
        <w:i/>
      </w:rPr>
      <w:t xml:space="preserve"> y </w:t>
    </w:r>
    <w:proofErr w:type="spellStart"/>
    <w:r w:rsidRPr="009B623E">
      <w:rPr>
        <w:rFonts w:cs="Calibri"/>
        <w:b/>
        <w:i/>
      </w:rPr>
      <w:t>Gestión</w:t>
    </w:r>
    <w:proofErr w:type="spellEnd"/>
    <w:r w:rsidRPr="009B623E">
      <w:rPr>
        <w:rFonts w:cs="Calibri"/>
        <w:b/>
        <w:i/>
      </w:rPr>
      <w:t xml:space="preserve"> </w:t>
    </w:r>
    <w:proofErr w:type="spellStart"/>
    <w:r w:rsidRPr="009B623E">
      <w:rPr>
        <w:rFonts w:cs="Calibri"/>
        <w:b/>
        <w:i/>
      </w:rPr>
      <w:t>Educativa</w:t>
    </w:r>
    <w:proofErr w:type="spellEnd"/>
    <w:r w:rsidRPr="009B623E">
      <w:rPr>
        <w:b/>
      </w:rPr>
      <w:t xml:space="preserve">  </w:t>
    </w:r>
    <w:r w:rsidRPr="009B623E">
      <w:t xml:space="preserve">               </w:t>
    </w:r>
    <w:r w:rsidRPr="009B623E">
      <w:rPr>
        <w:rFonts w:cs="Calibri"/>
        <w:b/>
      </w:rPr>
      <w:t>ISSN 2007 - 8412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0C63"/>
    <w:multiLevelType w:val="hybridMultilevel"/>
    <w:tmpl w:val="B316D50A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2FFA3BCB"/>
    <w:multiLevelType w:val="hybridMultilevel"/>
    <w:tmpl w:val="2F6EE20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A7099"/>
    <w:multiLevelType w:val="hybridMultilevel"/>
    <w:tmpl w:val="E876A880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C3"/>
    <w:rsid w:val="000341E9"/>
    <w:rsid w:val="00050D32"/>
    <w:rsid w:val="00066632"/>
    <w:rsid w:val="000728C9"/>
    <w:rsid w:val="0007371A"/>
    <w:rsid w:val="000B18D7"/>
    <w:rsid w:val="000B3D98"/>
    <w:rsid w:val="000D2A97"/>
    <w:rsid w:val="000D4058"/>
    <w:rsid w:val="000F3403"/>
    <w:rsid w:val="000F542C"/>
    <w:rsid w:val="0010068B"/>
    <w:rsid w:val="001420A2"/>
    <w:rsid w:val="001441D8"/>
    <w:rsid w:val="00160839"/>
    <w:rsid w:val="00176C18"/>
    <w:rsid w:val="001867BA"/>
    <w:rsid w:val="00192BF1"/>
    <w:rsid w:val="00196B42"/>
    <w:rsid w:val="001A65AA"/>
    <w:rsid w:val="001D4219"/>
    <w:rsid w:val="002109E1"/>
    <w:rsid w:val="002172F3"/>
    <w:rsid w:val="00222BD5"/>
    <w:rsid w:val="00231867"/>
    <w:rsid w:val="002523FC"/>
    <w:rsid w:val="002627BD"/>
    <w:rsid w:val="00262883"/>
    <w:rsid w:val="00263174"/>
    <w:rsid w:val="00291435"/>
    <w:rsid w:val="002A5CBE"/>
    <w:rsid w:val="002B6AFA"/>
    <w:rsid w:val="002B7416"/>
    <w:rsid w:val="002B7FB5"/>
    <w:rsid w:val="002C172D"/>
    <w:rsid w:val="002C34D5"/>
    <w:rsid w:val="002D4E46"/>
    <w:rsid w:val="002E6BB3"/>
    <w:rsid w:val="00307B0A"/>
    <w:rsid w:val="003445F2"/>
    <w:rsid w:val="0036596B"/>
    <w:rsid w:val="00390B2A"/>
    <w:rsid w:val="00390B33"/>
    <w:rsid w:val="003A2B09"/>
    <w:rsid w:val="003B24BE"/>
    <w:rsid w:val="003B2E09"/>
    <w:rsid w:val="003B4A7A"/>
    <w:rsid w:val="003C0047"/>
    <w:rsid w:val="003C4A06"/>
    <w:rsid w:val="003D0FA1"/>
    <w:rsid w:val="003E114E"/>
    <w:rsid w:val="003E630B"/>
    <w:rsid w:val="003E6D51"/>
    <w:rsid w:val="003F491E"/>
    <w:rsid w:val="004013AA"/>
    <w:rsid w:val="00406D7D"/>
    <w:rsid w:val="00412E79"/>
    <w:rsid w:val="00437A26"/>
    <w:rsid w:val="0044310B"/>
    <w:rsid w:val="004501B5"/>
    <w:rsid w:val="004521E0"/>
    <w:rsid w:val="00460D4F"/>
    <w:rsid w:val="00471008"/>
    <w:rsid w:val="00472A7D"/>
    <w:rsid w:val="00474B9E"/>
    <w:rsid w:val="004828CD"/>
    <w:rsid w:val="004A0B26"/>
    <w:rsid w:val="004C372D"/>
    <w:rsid w:val="004C7682"/>
    <w:rsid w:val="004D2B19"/>
    <w:rsid w:val="0052115C"/>
    <w:rsid w:val="0052629A"/>
    <w:rsid w:val="00563B10"/>
    <w:rsid w:val="0057566B"/>
    <w:rsid w:val="00583B67"/>
    <w:rsid w:val="005924EF"/>
    <w:rsid w:val="00593D1E"/>
    <w:rsid w:val="005B5EAD"/>
    <w:rsid w:val="006108FC"/>
    <w:rsid w:val="006254BD"/>
    <w:rsid w:val="00625798"/>
    <w:rsid w:val="00664D03"/>
    <w:rsid w:val="00681025"/>
    <w:rsid w:val="00694DCE"/>
    <w:rsid w:val="00695CCE"/>
    <w:rsid w:val="006B7499"/>
    <w:rsid w:val="006E6B5F"/>
    <w:rsid w:val="006F5C08"/>
    <w:rsid w:val="00720096"/>
    <w:rsid w:val="00727624"/>
    <w:rsid w:val="00727919"/>
    <w:rsid w:val="00753E33"/>
    <w:rsid w:val="0076066D"/>
    <w:rsid w:val="007A1AE9"/>
    <w:rsid w:val="007B26D2"/>
    <w:rsid w:val="007B7744"/>
    <w:rsid w:val="007E1204"/>
    <w:rsid w:val="007F29EF"/>
    <w:rsid w:val="00821562"/>
    <w:rsid w:val="0086131A"/>
    <w:rsid w:val="00862431"/>
    <w:rsid w:val="00891663"/>
    <w:rsid w:val="00897607"/>
    <w:rsid w:val="008B6389"/>
    <w:rsid w:val="008D6088"/>
    <w:rsid w:val="008D7E43"/>
    <w:rsid w:val="008E4429"/>
    <w:rsid w:val="008F52BB"/>
    <w:rsid w:val="00901131"/>
    <w:rsid w:val="00927A42"/>
    <w:rsid w:val="00931581"/>
    <w:rsid w:val="00940DB9"/>
    <w:rsid w:val="00946133"/>
    <w:rsid w:val="0095135D"/>
    <w:rsid w:val="009A002B"/>
    <w:rsid w:val="009B18E4"/>
    <w:rsid w:val="009E1E5D"/>
    <w:rsid w:val="00A1019E"/>
    <w:rsid w:val="00A23410"/>
    <w:rsid w:val="00A26085"/>
    <w:rsid w:val="00A42427"/>
    <w:rsid w:val="00A43510"/>
    <w:rsid w:val="00A57330"/>
    <w:rsid w:val="00A7109B"/>
    <w:rsid w:val="00AA0FBF"/>
    <w:rsid w:val="00AB0C82"/>
    <w:rsid w:val="00AC4068"/>
    <w:rsid w:val="00AC76ED"/>
    <w:rsid w:val="00AD6FDA"/>
    <w:rsid w:val="00AF177E"/>
    <w:rsid w:val="00AF4A4D"/>
    <w:rsid w:val="00B12E6B"/>
    <w:rsid w:val="00B14772"/>
    <w:rsid w:val="00B14CF3"/>
    <w:rsid w:val="00B22629"/>
    <w:rsid w:val="00B236F5"/>
    <w:rsid w:val="00B41F12"/>
    <w:rsid w:val="00B444F8"/>
    <w:rsid w:val="00B509CE"/>
    <w:rsid w:val="00B920D9"/>
    <w:rsid w:val="00B925C6"/>
    <w:rsid w:val="00BA77F1"/>
    <w:rsid w:val="00BB065E"/>
    <w:rsid w:val="00BB4B1B"/>
    <w:rsid w:val="00BE1992"/>
    <w:rsid w:val="00C10A52"/>
    <w:rsid w:val="00C3519A"/>
    <w:rsid w:val="00C60512"/>
    <w:rsid w:val="00C6698B"/>
    <w:rsid w:val="00C72039"/>
    <w:rsid w:val="00C75B4E"/>
    <w:rsid w:val="00C76396"/>
    <w:rsid w:val="00CA759A"/>
    <w:rsid w:val="00CB5739"/>
    <w:rsid w:val="00CC37F4"/>
    <w:rsid w:val="00CD619F"/>
    <w:rsid w:val="00CE5DA6"/>
    <w:rsid w:val="00CE7826"/>
    <w:rsid w:val="00CF47D2"/>
    <w:rsid w:val="00D052BC"/>
    <w:rsid w:val="00D100C4"/>
    <w:rsid w:val="00D86317"/>
    <w:rsid w:val="00D86C1D"/>
    <w:rsid w:val="00D87DE3"/>
    <w:rsid w:val="00D93108"/>
    <w:rsid w:val="00D9610E"/>
    <w:rsid w:val="00D97674"/>
    <w:rsid w:val="00DC7EE8"/>
    <w:rsid w:val="00DE4AC3"/>
    <w:rsid w:val="00DE5C0D"/>
    <w:rsid w:val="00DF7937"/>
    <w:rsid w:val="00E23C71"/>
    <w:rsid w:val="00E36241"/>
    <w:rsid w:val="00E60F3D"/>
    <w:rsid w:val="00E96083"/>
    <w:rsid w:val="00EB143B"/>
    <w:rsid w:val="00ED2D11"/>
    <w:rsid w:val="00F06CDD"/>
    <w:rsid w:val="00F07143"/>
    <w:rsid w:val="00F07AE0"/>
    <w:rsid w:val="00F104E3"/>
    <w:rsid w:val="00F1310B"/>
    <w:rsid w:val="00F24BC8"/>
    <w:rsid w:val="00F26A9D"/>
    <w:rsid w:val="00F40420"/>
    <w:rsid w:val="00F43401"/>
    <w:rsid w:val="00F50306"/>
    <w:rsid w:val="00F754A2"/>
    <w:rsid w:val="00F842C4"/>
    <w:rsid w:val="00F93865"/>
    <w:rsid w:val="00FC52D2"/>
    <w:rsid w:val="00FC5580"/>
    <w:rsid w:val="00FC7B67"/>
    <w:rsid w:val="00FD7690"/>
    <w:rsid w:val="00FE0505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1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7A4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27A42"/>
    <w:pPr>
      <w:ind w:left="720"/>
      <w:contextualSpacing/>
    </w:pPr>
  </w:style>
  <w:style w:type="table" w:styleId="Sombreadoclaro">
    <w:name w:val="Light Shading"/>
    <w:basedOn w:val="Tablanormal"/>
    <w:uiPriority w:val="60"/>
    <w:rsid w:val="004521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6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D0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C76ED"/>
    <w:rPr>
      <w:color w:val="808080"/>
    </w:rPr>
  </w:style>
  <w:style w:type="table" w:styleId="Tablaconcuadrcula">
    <w:name w:val="Table Grid"/>
    <w:basedOn w:val="Tablanormal"/>
    <w:uiPriority w:val="59"/>
    <w:rsid w:val="0047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C1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es-MX"/>
    </w:rPr>
  </w:style>
  <w:style w:type="paragraph" w:styleId="Bibliografa">
    <w:name w:val="Bibliography"/>
    <w:basedOn w:val="Normal"/>
    <w:next w:val="Normal"/>
    <w:uiPriority w:val="37"/>
    <w:unhideWhenUsed/>
    <w:rsid w:val="002C172D"/>
  </w:style>
  <w:style w:type="paragraph" w:styleId="Encabezado">
    <w:name w:val="header"/>
    <w:basedOn w:val="Normal"/>
    <w:link w:val="EncabezadoCar"/>
    <w:uiPriority w:val="99"/>
    <w:unhideWhenUsed/>
    <w:rsid w:val="00CB5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5739"/>
  </w:style>
  <w:style w:type="paragraph" w:styleId="Piedepgina">
    <w:name w:val="footer"/>
    <w:basedOn w:val="Normal"/>
    <w:link w:val="PiedepginaCar"/>
    <w:uiPriority w:val="99"/>
    <w:unhideWhenUsed/>
    <w:rsid w:val="00CB5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739"/>
  </w:style>
  <w:style w:type="paragraph" w:styleId="Sinespaciado">
    <w:name w:val="No Spacing"/>
    <w:uiPriority w:val="1"/>
    <w:qFormat/>
    <w:rsid w:val="00F104E3"/>
    <w:pPr>
      <w:spacing w:after="0" w:line="240" w:lineRule="auto"/>
    </w:pPr>
    <w:rPr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1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7A4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27A42"/>
    <w:pPr>
      <w:ind w:left="720"/>
      <w:contextualSpacing/>
    </w:pPr>
  </w:style>
  <w:style w:type="table" w:styleId="Sombreadoclaro">
    <w:name w:val="Light Shading"/>
    <w:basedOn w:val="Tablanormal"/>
    <w:uiPriority w:val="60"/>
    <w:rsid w:val="004521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6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D0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C76ED"/>
    <w:rPr>
      <w:color w:val="808080"/>
    </w:rPr>
  </w:style>
  <w:style w:type="table" w:styleId="Tablaconcuadrcula">
    <w:name w:val="Table Grid"/>
    <w:basedOn w:val="Tablanormal"/>
    <w:uiPriority w:val="59"/>
    <w:rsid w:val="0047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C1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es-MX"/>
    </w:rPr>
  </w:style>
  <w:style w:type="paragraph" w:styleId="Bibliografa">
    <w:name w:val="Bibliography"/>
    <w:basedOn w:val="Normal"/>
    <w:next w:val="Normal"/>
    <w:uiPriority w:val="37"/>
    <w:unhideWhenUsed/>
    <w:rsid w:val="002C172D"/>
  </w:style>
  <w:style w:type="paragraph" w:styleId="Encabezado">
    <w:name w:val="header"/>
    <w:basedOn w:val="Normal"/>
    <w:link w:val="EncabezadoCar"/>
    <w:uiPriority w:val="99"/>
    <w:unhideWhenUsed/>
    <w:rsid w:val="00CB5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5739"/>
  </w:style>
  <w:style w:type="paragraph" w:styleId="Piedepgina">
    <w:name w:val="footer"/>
    <w:basedOn w:val="Normal"/>
    <w:link w:val="PiedepginaCar"/>
    <w:uiPriority w:val="99"/>
    <w:unhideWhenUsed/>
    <w:rsid w:val="00CB5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739"/>
  </w:style>
  <w:style w:type="paragraph" w:styleId="Sinespaciado">
    <w:name w:val="No Spacing"/>
    <w:uiPriority w:val="1"/>
    <w:qFormat/>
    <w:rsid w:val="00F104E3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ochebuena@ute.edu.mx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Sec</b:Tag>
    <b:SourceType>Misc</b:SourceType>
    <b:Guid>{CC1EF265-CC65-4A35-B25F-63AE3C204F05}</b:Guid>
    <b:Author>
      <b:Author>
        <b:NameList>
          <b:Person>
            <b:Last>Secretaría del Trabajo y Previsión Social</b:Last>
          </b:Person>
        </b:NameList>
      </b:Author>
    </b:Author>
    <b:PublicationTitle>Norma Oficial Mexicana NOM-025-STPS-2008, Condiciones de iluminación en los centros de trabajo.</b:PublicationTitle>
    <b:CountryRegion>México</b:CountryRegion>
    <b:RefOrder>1</b:RefOrder>
  </b:Source>
  <b:Source>
    <b:Tag>ANS13</b:Tag>
    <b:SourceType>Misc</b:SourceType>
    <b:Guid>{7613A0B0-07AB-4C06-8B2A-0AA0721F973B}</b:Guid>
    <b:Title>American National Standard Practice on Lightning for Educational Facilities ANSI/IES RP-3-13</b:Title>
    <b:Year>2013</b:Year>
    <b:City>Nueva York</b:City>
    <b:Publisher>Illuminating Engineering Society of North America</b:Publisher>
    <b:Author>
      <b:Author>
        <b:Corporate>ANSI</b:Corporate>
      </b:Author>
    </b:Author>
    <b:CountryRegion>Estados Unidos</b:CountryRegion>
    <b:RefOrder>2</b:RefOrder>
  </b:Source>
  <b:Source>
    <b:Tag>Ton15</b:Tag>
    <b:SourceType>JournalArticle</b:SourceType>
    <b:Guid>{D0F3717A-4539-4BB6-B8E9-76ED785D2D06}</b:Guid>
    <b:Title>Conciencia ambiental y conducta sustentable relacionada con el uso de energía para iluminación</b:Title>
    <b:JournalName>Gestión y Ambiente</b:JournalName>
    <b:Year>2015</b:Year>
    <b:Pages>45-58</b:Pages>
    <b:Author>
      <b:Author>
        <b:NameList>
          <b:Person>
            <b:Last>Tonello</b:Last>
            <b:First>Graciela</b:First>
          </b:Person>
          <b:Person>
            <b:Last>Valladares</b:Last>
            <b:First>Natalia</b:First>
          </b:Person>
        </b:NameList>
      </b:Author>
    </b:Author>
    <b:RefOrder>3</b:RefOrder>
  </b:Source>
  <b:Source>
    <b:Tag>Ser15</b:Tag>
    <b:SourceType>JournalArticle</b:SourceType>
    <b:Guid>{43FEB077-1E24-45AD-9E3C-FCC33ECB7C34}</b:Guid>
    <b:Title>Análisis del ahorro energético en iluminación LED industrial: Un estudio de caso</b:Title>
    <b:Year>2015</b:Year>
    <b:Author>
      <b:Author>
        <b:NameList>
          <b:Person>
            <b:Last>Serrano Tierz</b:Last>
            <b:First>Ana</b:First>
          </b:Person>
          <b:Person>
            <b:Last>Martínez Iturbide</b:Last>
            <b:First>Abelardo</b:First>
          </b:Person>
          <b:Person>
            <b:Last>Guarddon Muñoz</b:Last>
            <b:First>Oscar</b:First>
          </b:Person>
          <b:Person>
            <b:Last>Santolaya Sáenz</b:Last>
            <b:First>José Luis</b:First>
          </b:Person>
        </b:NameList>
      </b:Author>
    </b:Author>
    <b:JournalName>Dyna</b:JournalName>
    <b:Pages>231-239</b:Pages>
    <b:Volume>82</b:Volume>
    <b:Issue>191</b:Issue>
    <b:RefOrder>4</b:RefOrder>
  </b:Source>
  <b:Source>
    <b:Tag>Mar16</b:Tag>
    <b:SourceType>JournalArticle</b:SourceType>
    <b:Guid>{E56B08B2-C4BB-4FCF-A24A-DBBF44356CD7}</b:Guid>
    <b:Title>Estudio de la calidad de iluminación en edificios de la universidad tecnológica de ciudad Juárez</b:Title>
    <b:JournalName>Theorema</b:JournalName>
    <b:Year>2016</b:Year>
    <b:Pages>38-46</b:Pages>
    <b:Author>
      <b:Author>
        <b:NameList>
          <b:Person>
            <b:Last>Martínez Fuentes</b:Last>
            <b:First>Linda</b:First>
          </b:Person>
          <b:Person>
            <b:Last>Pérez Olguin</b:Last>
            <b:Middle>Juan Carlos</b:Middle>
            <b:First>Iván</b:First>
          </b:Person>
          <b:Person>
            <b:Last>Tovar Vázquez</b:Last>
            <b:First>Édgar</b:First>
          </b:Person>
        </b:NameList>
      </b:Author>
    </b:Author>
    <b:RefOrder>5</b:RefOrder>
  </b:Source>
  <b:Source>
    <b:Tag>Sec03</b:Tag>
    <b:SourceType>DocumentFromInternetSite</b:SourceType>
    <b:Guid>{A7AC7438-FC20-4DE5-B78A-6629B2EF1700}</b:Guid>
    <b:Author>
      <b:Author>
        <b:Corporate>Secretaría del Medio Ambiente y Recursos Naturales</b:Corporate>
      </b:Author>
    </b:Author>
    <b:Title>Ley General para la prevención y Gestión Integral de los Residuos</b:Title>
    <b:Year>2003</b:Year>
    <b:Month>octubre</b:Month>
    <b:Day>8</b:Day>
    <b:InternetSiteTitle>www.diputados.gob.mx</b:InternetSiteTitle>
    <b:URL>http://www.diputados.gob.mx/LeyesBiblio/ref/lgpgir/LGPGIR_orig_08oct03.pdf</b:URL>
    <b:RefOrder>6</b:RefOrder>
  </b:Source>
  <b:Source>
    <b:Tag>Lab</b:Tag>
    <b:SourceType>DocumentFromInternetSite</b:SourceType>
    <b:Guid>{422114D7-DE98-42B7-8531-6DA83B271C37}</b:Guid>
    <b:Author>
      <b:Author>
        <b:Corporate>Labour Department Government of Hong Kong</b:Corporate>
      </b:Author>
    </b:Author>
    <b:InternetSiteTitle>Lighting Assessment in the workplace</b:InternetSiteTitle>
    <b:URL>http://www.labour.gov.hk/eng/public/oh/Lighting.pdf</b:URL>
    <b:Year>2008</b:Year>
    <b:Month>Diciembre</b:Month>
    <b:RefOrder>7</b:RefOrder>
  </b:Source>
  <b:Source>
    <b:Tag>Com17</b:Tag>
    <b:SourceType>DocumentFromInternetSite</b:SourceType>
    <b:Guid>{73DA347E-7406-4AAA-AB88-7306AFEB12C4}</b:Guid>
    <b:Author>
      <b:Author>
        <b:Corporate>Comisión Federal de Electricidad</b:Corporate>
      </b:Author>
    </b:Author>
    <b:Title>www.cfe.gob.mx</b:Title>
    <b:Year>2017</b:Year>
    <b:Month>junio</b:Month>
    <b:URL>http://app.cfe.gob.mx/aplicaciones/ccfe/tarifas/tarifas/tarifas_negocio.asp?Tarifa=HM&amp;Anio=2017&amp;mes=6</b:URL>
    <b:RefOrder>8</b:RefOrder>
  </b:Source>
  <b:Source>
    <b:Tag>Anó17</b:Tag>
    <b:SourceType>ArticleInAPeriodical</b:SourceType>
    <b:Guid>{E98D7C75-B054-4307-A3B7-3887758FBE50}</b:Guid>
    <b:Title>La tecnología LED brilla por sí misma</b:Title>
    <b:Year>2017</b:Year>
    <b:Month>junio</b:Month>
    <b:Day>6</b:Day>
    <b:Author>
      <b:Author>
        <b:NameList>
          <b:Person>
            <b:Last>Anónimo</b:Last>
          </b:Person>
        </b:NameList>
      </b:Author>
    </b:Author>
    <b:PeriodicalTitle>El Norte (suplemento comercial)</b:PeriodicalTitle>
    <b:Pages>6</b:Pages>
    <b:RefOrder>9</b:RefOrder>
  </b:Source>
  <b:Source>
    <b:Tag>Har10</b:Tag>
    <b:SourceType>Book</b:SourceType>
    <b:Guid>{3C9889FD-799D-4301-BA21-2D3E065E90D8}</b:Guid>
    <b:Title>Energy Efficency and the Demand for Energy Services</b:Title>
    <b:Year>2010</b:Year>
    <b:City>Londres</b:City>
    <b:Publisher>Earthscan</b:Publisher>
    <b:Author>
      <b:Author>
        <b:NameList>
          <b:Person>
            <b:Last>Harvey</b:Last>
            <b:First>Danny</b:First>
          </b:Person>
        </b:NameList>
      </b:Author>
    </b:Author>
    <b:RefOrder>10</b:RefOrder>
  </b:Source>
  <b:Source>
    <b:Tag>Sec17</b:Tag>
    <b:SourceType>DocumentFromInternetSite</b:SourceType>
    <b:Guid>{5F0EEBB0-BB74-40E0-8475-921714592682}</b:Guid>
    <b:Title>Protocolo de Inspección en Materia de Seguridad e Higiene para Tiendas de Autoservicio</b:Title>
    <b:Year>2017</b:Year>
    <b:Author>
      <b:Author>
        <b:Corporate>Secretaría del Trabajo y Previsión Social</b:Corporate>
      </b:Author>
    </b:Author>
    <b:URL>http://www.gob.mx/cms/uploads/attachment/file/220893/ProtocoloANTAD.pdf</b:URL>
    <b:RefOrder>11</b:RefOrder>
  </b:Source>
  <b:Source>
    <b:Tag>www</b:Tag>
    <b:SourceType>InternetSite</b:SourceType>
    <b:Guid>{BB62F2B2-8801-4632-B09D-71A32CDB89BA}</b:Guid>
    <b:URL>www.homedepot.com.mx</b:URL>
    <b:Title>Home Depot México</b:Title>
    <b:RefOrder>12</b:RefOrder>
  </b:Source>
  <b:Source>
    <b:Tag>Env</b:Tag>
    <b:SourceType>InternetSite</b:SourceType>
    <b:Guid>{38369B56-5359-4C07-8708-2CDC30C624B7}</b:Guid>
    <b:Author>
      <b:Author>
        <b:Corporate>Environmental Protection Agency</b:Corporate>
      </b:Author>
    </b:Author>
    <b:Title>Greenhouse Gas Equivalencies Calculator</b:Title>
    <b:URL>https://www.epa.gov/energy/greenhouse-gas-equivalencies-calculator</b:URL>
    <b:RefOrder>13</b:RefOrder>
  </b:Source>
  <b:Source>
    <b:Tag>are17</b:Tag>
    <b:SourceType>InternetSite</b:SourceType>
    <b:Guid>{0B02268A-A1A9-49D6-9CDC-11C916BFA9C5}</b:Guid>
    <b:Author>
      <b:Author>
        <b:Corporate>Arenapublica.com</b:Corporate>
      </b:Author>
    </b:Author>
    <b:Title>Arenapublica.com</b:Title>
    <b:Year>2017</b:Year>
    <b:Month>junio</b:Month>
    <b:Day>8</b:Day>
    <b:URL>http://arenapublica.com/articulo/2017/06/08/5943/mexico-en-el-acuerdo-de-paris-contaminacion-de-carros-calidad-ambiental</b:URL>
    <b:RefOrder>14</b:RefOrder>
  </b:Source>
  <b:Source>
    <b:Tag>Phi</b:Tag>
    <b:SourceType>InternetSite</b:SourceType>
    <b:Guid>{BD0E0F23-955B-478C-B3DC-6899682D54C3}</b:Guid>
    <b:Author>
      <b:Author>
        <b:Corporate>Philips</b:Corporate>
      </b:Author>
    </b:Author>
    <b:Title>http://www.usa.lighting.philips.com/products/product-highlights/instantfit</b:Title>
    <b:URL>http://images.philips.com/is/content/PhilipsConsumer/PDFDownloads/United%20States/ODLI20160302_003_UPD_en_US_LED-Lamps-InstantFit-PB-Calculator-v4.0.zip</b:URL>
    <b:RefOrder>15</b:RefOrder>
  </b:Source>
  <b:Source>
    <b:Tag>Ext10</b:Tag>
    <b:SourceType>Misc</b:SourceType>
    <b:Guid>{BAADD497-A6A2-45AC-BDFB-629FE1FCDEB2}</b:Guid>
    <b:Title>Manual de Usuario Medidor Digital de Luz EasyView</b:Title>
    <b:Year>2010</b:Year>
    <b:Author>
      <b:Author>
        <b:Corporate>Extech Instruments Corporation</b:Corporate>
      </b:Author>
    </b:Author>
    <b:StateProvince>Massachusetts</b:StateProvince>
    <b:CountryRegion>Estados Unidos</b:CountryRegion>
    <b:RefOrder>16</b:RefOrder>
  </b:Source>
  <b:Source>
    <b:Tag>The13</b:Tag>
    <b:SourceType>DocumentFromInternetSite</b:SourceType>
    <b:Guid>{FBAAF0D6-8916-492E-A92D-5FDC9BF125B9}</b:Guid>
    <b:Title>The Lightning Handbook</b:Title>
    <b:Year>2013</b:Year>
    <b:Month>Octubre</b:Month>
    <b:URL>www.zumtobel.com/PDB/teaser/ES/Lichthandbuch.pdf</b:URL>
    <b:Author>
      <b:Author>
        <b:Corporate>Zumtobel Lighting GmbH </b:Corporate>
      </b:Author>
    </b:Author>
    <b:RefOrder>17</b:RefOrder>
  </b:Source>
  <b:Source>
    <b:Tag>Nor11</b:Tag>
    <b:SourceType>BookSection</b:SourceType>
    <b:Guid>{D25983F8-DD5E-4A9B-B3D7-190B8B096B7F}</b:Guid>
    <b:Title>Teorías de falla por fatiga</b:Title>
    <b:Year>2011</b:Year>
    <b:Publisher>Pearson </b:Publisher>
    <b:City>Mexico</b:City>
    <b:BookTitle>Diseño de Máquinas Un enfoque integrado Cuarta edición</b:BookTitle>
    <b:Pages>277-282</b:Pages>
    <b:Author>
      <b:Author>
        <b:NameList>
          <b:Person>
            <b:Last>Norton</b:Last>
            <b:Middle>L</b:Middle>
            <b:First>Robert</b:First>
          </b:Person>
        </b:NameList>
      </b:Author>
    </b:Author>
    <b:RefOrder>3</b:RefOrder>
  </b:Source>
  <b:Source>
    <b:Tag>Sch13</b:Tag>
    <b:SourceType>Book</b:SourceType>
    <b:Guid>{016AF08F-3B18-4315-8E0E-79780F86804E}</b:Guid>
    <b:Title>Practical Residual Stress Measurment Methods</b:Title>
    <b:Year>2013</b:Year>
    <b:Publisher>Wiley</b:Publisher>
    <b:Author>
      <b:Author>
        <b:NameList>
          <b:Person>
            <b:Last>Schajer</b:Last>
            <b:Middle>S</b:Middle>
            <b:First>Gary</b:First>
          </b:Person>
        </b:NameList>
      </b:Author>
    </b:Author>
    <b:RefOrder>1</b:RefOrder>
  </b:Source>
  <b:Source>
    <b:Tag>Wal01</b:Tag>
    <b:SourceType>JournalArticle</b:SourceType>
    <b:Guid>{6B0B0DF5-A924-4B93-B7A3-BB7A7B18FA30}</b:Guid>
    <b:Title>Residual Stress Measurement Techniques</b:Title>
    <b:Year>2001</b:Year>
    <b:JournalName>ADVANCED MATERIALS &amp; PROCESSES</b:JournalName>
    <b:Pages>30-33</b:Pages>
    <b:Volume>August 2001</b:Volume>
    <b:Author>
      <b:Author>
        <b:NameList>
          <b:Person>
            <b:Last>Walker</b:Last>
            <b:First>Donna </b:First>
          </b:Person>
        </b:NameList>
      </b:Author>
    </b:Author>
    <b:RefOrder>4</b:RefOrder>
  </b:Source>
  <b:Source>
    <b:Tag>Lin17</b:Tag>
    <b:SourceType>JournalArticle</b:SourceType>
    <b:Guid>{F1E36CD8-703B-4B2E-B169-02491D42E8A3}</b:Guid>
    <b:Title>Measurement of residual stress in arc welded lap joints by cosα X-ray diffraction method</b:Title>
    <b:JournalName>Journal of Materials Processing Technology</b:JournalName>
    <b:Year>2017</b:Year>
    <b:Pages>387-394</b:Pages>
    <b:Volume>243</b:Volume>
    <b:Author>
      <b:Author>
        <b:NameList>
          <b:Person>
            <b:Last>Lin</b:Last>
            <b:First>Jian</b:First>
          </b:Person>
          <b:Person>
            <b:Last>Ma</b:Last>
            <b:First>Nishu</b:First>
          </b:Person>
          <b:Person>
            <b:Last>Lei</b:Last>
            <b:First> Yongping</b:First>
          </b:Person>
          <b:Person>
            <b:Last>Murakawa</b:Last>
            <b:First>Hidekazu</b:First>
          </b:Person>
        </b:NameList>
      </b:Author>
    </b:Author>
    <b:RefOrder>5</b:RefOrder>
  </b:Source>
  <b:Source>
    <b:Tag>Tot02</b:Tag>
    <b:SourceType>Book</b:SourceType>
    <b:Guid>{104F08C0-66BB-4CC8-897F-3D9D3DDA1DEA}</b:Guid>
    <b:Title>Handbook of residual stress and steel deformation</b:Title>
    <b:Year>2002</b:Year>
    <b:City>Materials Park, OH</b:City>
    <b:Publisher>ASM International</b:Publisher>
    <b:Author>
      <b:Author>
        <b:NameList>
          <b:Person>
            <b:Last>Totten</b:Last>
            <b:Middle>E</b:Middle>
            <b:First>George</b:First>
          </b:Person>
          <b:Person>
            <b:Last>Howes</b:Last>
            <b:Middle>A.H.</b:Middle>
            <b:First>Maurice</b:First>
          </b:Person>
          <b:Person>
            <b:Last>Inoue</b:Last>
            <b:First>Tatsuo </b:First>
          </b:Person>
        </b:NameList>
      </b:Author>
    </b:Author>
    <b:RefOrder>6</b:RefOrder>
  </b:Source>
  <b:Source>
    <b:Tag>AST</b:Tag>
    <b:SourceType>Misc</b:SourceType>
    <b:Guid>{9379D86E-7602-4E67-B336-4B86791B9A93}</b:Guid>
    <b:Title>ASTM E837 - 08: Standard Test Method for Determining Residual Stresses by the Hole-Drilling Strain-Gage Method</b:Title>
    <b:Author>
      <b:Author>
        <b:Corporate>ASTM International</b:Corporate>
      </b:Author>
    </b:Author>
    <b:Year>2008</b:Year>
    <b:RefOrder>2</b:RefOrder>
  </b:Source>
</b:Sources>
</file>

<file path=customXml/itemProps1.xml><?xml version="1.0" encoding="utf-8"?>
<ds:datastoreItem xmlns:ds="http://schemas.openxmlformats.org/officeDocument/2006/customXml" ds:itemID="{1EC1669E-D969-4058-8588-239F2CAF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26</Pages>
  <Words>5450</Words>
  <Characters>29975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Gustavo Toledo Andrade</cp:lastModifiedBy>
  <cp:revision>22</cp:revision>
  <cp:lastPrinted>2017-06-20T23:16:00Z</cp:lastPrinted>
  <dcterms:created xsi:type="dcterms:W3CDTF">2017-06-17T17:08:00Z</dcterms:created>
  <dcterms:modified xsi:type="dcterms:W3CDTF">2017-06-20T23:24:00Z</dcterms:modified>
</cp:coreProperties>
</file>